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Times New Roman"/>
          <w:sz w:val="44"/>
          <w:szCs w:val="44"/>
        </w:rPr>
      </w:pPr>
    </w:p>
    <w:p>
      <w:pPr>
        <w:spacing w:line="640" w:lineRule="exact"/>
        <w:jc w:val="both"/>
        <w:rPr>
          <w:rFonts w:ascii="黑体" w:eastAsia="黑体" w:cs="Times New Roman"/>
          <w:b/>
          <w:sz w:val="52"/>
          <w:szCs w:val="5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察隅县妇女联合会2023年度部门预算</w:t>
      </w:r>
    </w:p>
    <w:p>
      <w:pPr>
        <w:rPr>
          <w:rFonts w:ascii="方正小标宋简体" w:hAnsi="方正小标宋简体" w:eastAsia="方正小标宋简体" w:cs="方正小标宋简体"/>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jc w:val="center"/>
        <w:rPr>
          <w:rFonts w:ascii="仿宋_GB2312" w:hAnsi="仿宋_GB2312" w:eastAsia="仿宋_GB2312" w:cs="仿宋_GB2312"/>
          <w:sz w:val="32"/>
          <w:szCs w:val="32"/>
        </w:rPr>
      </w:pPr>
      <w:r>
        <w:rPr>
          <w:rFonts w:ascii="宋体" w:hAnsi="宋体" w:cs="Times New Roman"/>
          <w:sz w:val="32"/>
          <w:szCs w:val="32"/>
        </w:rPr>
        <w:t xml:space="preserve"> </w:t>
      </w:r>
      <w:r>
        <w:rPr>
          <w:rFonts w:hint="eastAsia" w:ascii="仿宋_GB2312" w:hAnsi="仿宋_GB2312" w:eastAsia="仿宋_GB2312" w:cs="仿宋_GB2312"/>
          <w:sz w:val="32"/>
          <w:szCs w:val="32"/>
        </w:rPr>
        <w:t xml:space="preserve">  </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2023年02月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rPr>
          <w:rFonts w:cs="Times New Roman"/>
          <w:sz w:val="44"/>
          <w:szCs w:val="44"/>
        </w:rPr>
      </w:pPr>
    </w:p>
    <w:p>
      <w:pPr>
        <w:jc w:val="center"/>
        <w:rPr>
          <w:rFonts w:ascii="黑体" w:hAnsi="黑体" w:eastAsia="黑体"/>
          <w:b/>
          <w:snapToGrid w:val="0"/>
          <w:w w:val="95"/>
          <w:sz w:val="44"/>
          <w:szCs w:val="44"/>
        </w:rPr>
      </w:pPr>
    </w:p>
    <w:p>
      <w:pPr>
        <w:jc w:val="center"/>
        <w:rPr>
          <w:rFonts w:ascii="黑体" w:hAnsi="黑体" w:eastAsia="黑体"/>
          <w:b/>
          <w:snapToGrid w:val="0"/>
          <w:w w:val="95"/>
          <w:sz w:val="44"/>
          <w:szCs w:val="44"/>
        </w:rPr>
      </w:pPr>
    </w:p>
    <w:p>
      <w:pPr>
        <w:jc w:val="center"/>
        <w:rPr>
          <w:rFonts w:ascii="方正小标宋简体" w:hAnsi="方正小标宋简体" w:eastAsia="方正小标宋简体" w:cs="方正小标宋简体"/>
          <w:b/>
          <w:snapToGrid w:val="0"/>
          <w:w w:val="95"/>
          <w:sz w:val="44"/>
          <w:szCs w:val="44"/>
        </w:rPr>
      </w:pPr>
      <w:r>
        <w:rPr>
          <w:rFonts w:hint="eastAsia" w:ascii="方正小标宋简体" w:hAnsi="方正小标宋简体" w:eastAsia="方正小标宋简体" w:cs="方正小标宋简体"/>
          <w:bCs/>
          <w:snapToGrid w:val="0"/>
          <w:w w:val="95"/>
          <w:sz w:val="44"/>
          <w:szCs w:val="44"/>
        </w:rPr>
        <w:t>目    录</w:t>
      </w:r>
    </w:p>
    <w:p>
      <w:pPr>
        <w:spacing w:after="0" w:line="560" w:lineRule="exact"/>
        <w:rPr>
          <w:rFonts w:hint="eastAsia" w:ascii="黑体" w:hAnsi="黑体" w:eastAsia="黑体" w:cs="黑体"/>
          <w:bCs/>
          <w:snapToGrid w:val="0"/>
          <w:w w:val="95"/>
          <w:sz w:val="32"/>
          <w:szCs w:val="32"/>
        </w:rPr>
      </w:pP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第一部分  察隅县妇女联合会概况</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察隅县妇女联合会2023年度部门预算明细表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五、一般公共预算支出情况表（按功能分类科目）</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十、项目支出绩效表</w:t>
      </w: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十一、政府购买服务预算表</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察隅县妇女联合会2023年度部门预算数据分析</w:t>
      </w:r>
    </w:p>
    <w:p>
      <w:pPr>
        <w:spacing w:after="0" w:line="56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spacing w:after="0" w:line="560" w:lineRule="exact"/>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附件：</w:t>
      </w:r>
    </w:p>
    <w:p>
      <w:pPr>
        <w:spacing w:after="0" w:line="560" w:lineRule="exact"/>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察隅县妇女联合会（部门）2023年度部门预算明细表（含十一张表）</w:t>
      </w:r>
    </w:p>
    <w:p>
      <w:pPr>
        <w:rPr>
          <w:rFonts w:ascii="宋体" w:hAnsi="宋体"/>
          <w:b/>
          <w:snapToGrid w:val="0"/>
          <w:w w:val="95"/>
          <w:sz w:val="44"/>
          <w:szCs w:val="44"/>
        </w:rPr>
      </w:pPr>
    </w:p>
    <w:p>
      <w:pPr>
        <w:spacing w:after="0" w:line="560" w:lineRule="exact"/>
        <w:jc w:val="center"/>
        <w:rPr>
          <w:rFonts w:ascii="方正小标宋简体" w:hAnsi="方正小标宋简体" w:eastAsia="方正小标宋简体" w:cs="方正小标宋简体"/>
          <w:bCs/>
          <w:snapToGrid w:val="0"/>
          <w:w w:val="95"/>
          <w:sz w:val="44"/>
          <w:szCs w:val="44"/>
        </w:rPr>
        <w:sectPr>
          <w:pgSz w:w="11906" w:h="16838"/>
          <w:pgMar w:top="1440" w:right="1800" w:bottom="1440" w:left="1800" w:header="708" w:footer="708" w:gutter="0"/>
          <w:cols w:space="708" w:num="1"/>
          <w:docGrid w:linePitch="360" w:charSpace="0"/>
        </w:sect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第一部分  察隅县妇女联合会（部门）概况</w:t>
      </w:r>
    </w:p>
    <w:p>
      <w:pPr>
        <w:spacing w:line="560" w:lineRule="exact"/>
        <w:jc w:val="both"/>
        <w:rPr>
          <w:rFonts w:ascii="黑体" w:hAnsi="黑体" w:eastAsia="黑体"/>
          <w:b/>
          <w:snapToGrid w:val="0"/>
          <w:w w:val="95"/>
          <w:sz w:val="44"/>
          <w:szCs w:val="44"/>
        </w:rPr>
      </w:pPr>
    </w:p>
    <w:p>
      <w:pPr>
        <w:spacing w:after="0" w:line="56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 xml:space="preserve">一、预算单位构成    </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sz w:val="32"/>
          <w:szCs w:val="32"/>
        </w:rPr>
        <w:t>察隅</w:t>
      </w:r>
      <w:r>
        <w:rPr>
          <w:rFonts w:hint="eastAsia" w:ascii="仿宋_GB2312" w:hAnsi="宋体" w:eastAsia="仿宋_GB2312" w:cs="Times New Roman"/>
          <w:sz w:val="32"/>
          <w:szCs w:val="32"/>
        </w:rPr>
        <w:t>县妇女联合会，正科级建制，是县委领导下的全县各族各界妇女群众联合起来的群团组织，是党和政府联系妇女群众的桥梁和纽带。</w:t>
      </w:r>
    </w:p>
    <w:p>
      <w:pPr>
        <w:spacing w:after="0" w:line="560" w:lineRule="exact"/>
        <w:ind w:firstLine="640" w:firstLineChars="200"/>
        <w:jc w:val="both"/>
        <w:rPr>
          <w:rFonts w:ascii="黑体" w:hAnsi="宋体" w:eastAsia="黑体" w:cs="Times New Roman"/>
          <w:sz w:val="32"/>
          <w:szCs w:val="32"/>
        </w:rPr>
      </w:pPr>
      <w:r>
        <w:rPr>
          <w:rFonts w:hint="eastAsia" w:ascii="黑体" w:hAnsi="宋体" w:eastAsia="黑体" w:cs="Times New Roman"/>
          <w:sz w:val="32"/>
          <w:szCs w:val="32"/>
        </w:rPr>
        <w:t>二、部门职责和机构设置</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（一）部门职责</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坚持正确的政治方向，组织引导妇女学习贯彻习近平新时代中国特色社会主义思想和党的路线方针政策，用中国特色社会主义共同理想凝聚妇女，团结引导全县各族各界妇女始终做到听党话、跟党走。</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紧密围绕党和政府的中心任务开展工作，团结动员妇女投身改革开放和社会主义</w:t>
      </w:r>
      <w:r>
        <w:rPr>
          <w:rFonts w:hint="eastAsia" w:ascii="仿宋_GB2312" w:hAnsi="宋体" w:eastAsia="仿宋_GB2312"/>
          <w:sz w:val="32"/>
          <w:szCs w:val="32"/>
        </w:rPr>
        <w:t>察隅</w:t>
      </w:r>
      <w:r>
        <w:rPr>
          <w:rFonts w:hint="eastAsia" w:ascii="仿宋_GB2312" w:hAnsi="宋体" w:eastAsia="仿宋_GB2312" w:cs="Times New Roman"/>
          <w:sz w:val="32"/>
          <w:szCs w:val="32"/>
        </w:rPr>
        <w:t>经济建设、政治建设、文化建设、社会建设和生态文明建设，注重发挥妇女在社会生活和家庭生活中的独特作用，为</w:t>
      </w:r>
      <w:r>
        <w:rPr>
          <w:rFonts w:hint="eastAsia" w:ascii="仿宋_GB2312" w:hAnsi="宋体" w:eastAsia="仿宋_GB2312"/>
          <w:sz w:val="32"/>
          <w:szCs w:val="32"/>
        </w:rPr>
        <w:t>察隅</w:t>
      </w:r>
      <w:r>
        <w:rPr>
          <w:rFonts w:hint="eastAsia" w:ascii="仿宋_GB2312" w:hAnsi="宋体" w:eastAsia="仿宋_GB2312" w:cs="Times New Roman"/>
          <w:sz w:val="32"/>
          <w:szCs w:val="32"/>
        </w:rPr>
        <w:t>经济社会长足发展和长治久安作贡献。</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3</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代表妇女参与管理国家事务、管理经济和文化事业、管理社会事务，参与民主决策、民主管理、民主监督，贯彻执行有关地方性法规、政府规章，参与社会治理和公共服务，推动保障妇女权益法律政策和妇女、儿童发展纲要在全县有效实施。</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4</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维护妇女儿童合法权益，倾听妇女意见，反映妇女诉求，向有关部门或单位提出有关建议，要求并协助有关部门或单位查处侵害妇女儿童权益的行为，为受侵害的妇女儿童提供帮助。</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5</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宣传马克思主义妇女观，推动落实男女平等基本国策，营造有利于妇女全面发展的社会环境。教育引导妇女树立自尊、自信、自立、自强的精神，提高综合素质，实现全面发展。宣传表彰优秀妇女典型，培养、推荐女性人才。</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6</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7</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关心妇女工作生活，拓宽服务渠道，创新服务方式，建设服务阵地，发展公益事业，壮大巾帼志愿者队伍，加强妇女之家建设。联系和引导女性社会组织，加强与社会各界的协作，推动全社会为妇女儿童和家庭服务。</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8</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指导乡(镇)妇女组织依据《中华全国妇女联合会章程》和全县妇女代表大会的任务，开展妇女儿童工作，联系基层妇联组织并给予工作指导。</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9</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积极发展同各县(区)妇女和妇女组织以及区外妇女团体的友好交往与合作，增进了解和友谊。</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10</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承担县人民政府妇女儿童工作委员会的日常工作。</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11</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rPr>
        <w:t>完成县委、政府交办的其他任务。</w:t>
      </w:r>
    </w:p>
    <w:p>
      <w:pPr>
        <w:spacing w:after="0" w:line="560" w:lineRule="exact"/>
        <w:ind w:firstLine="320" w:firstLineChars="1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（二）部门机构设置</w:t>
      </w:r>
    </w:p>
    <w:p>
      <w:pPr>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sz w:val="32"/>
          <w:szCs w:val="32"/>
        </w:rPr>
        <w:t>察隅</w:t>
      </w:r>
      <w:r>
        <w:rPr>
          <w:rFonts w:hint="eastAsia" w:ascii="仿宋_GB2312" w:hAnsi="宋体" w:eastAsia="仿宋_GB2312" w:cs="Times New Roman"/>
          <w:sz w:val="32"/>
          <w:szCs w:val="32"/>
        </w:rPr>
        <w:t>县妇女联合会无内设机构。</w:t>
      </w:r>
    </w:p>
    <w:p>
      <w:pPr>
        <w:spacing w:line="560" w:lineRule="exact"/>
        <w:jc w:val="both"/>
        <w:rPr>
          <w:rFonts w:ascii="仿宋_GB2312" w:hAnsi="仿宋_GB2312" w:eastAsia="仿宋_GB2312" w:cs="仿宋_GB2312"/>
          <w:sz w:val="32"/>
          <w:szCs w:val="32"/>
        </w:rPr>
      </w:pPr>
    </w:p>
    <w:p>
      <w:pPr>
        <w:numPr>
          <w:ilvl w:val="0"/>
          <w:numId w:val="1"/>
        </w:numPr>
        <w:spacing w:line="560" w:lineRule="exact"/>
        <w:jc w:val="center"/>
        <w:rPr>
          <w:rFonts w:ascii="方正小标宋简体" w:hAnsi="方正小标宋简体" w:eastAsia="方正小标宋简体" w:cs="方正小标宋简体"/>
          <w:bCs/>
          <w:snapToGrid w:val="0"/>
          <w:w w:val="95"/>
          <w:sz w:val="32"/>
          <w:szCs w:val="32"/>
        </w:rPr>
      </w:pPr>
      <w:r>
        <w:rPr>
          <w:rFonts w:hint="eastAsia" w:ascii="方正小标宋简体" w:hAnsi="方正小标宋简体" w:eastAsia="方正小标宋简体" w:cs="方正小标宋简体"/>
          <w:bCs/>
          <w:snapToGrid w:val="0"/>
          <w:w w:val="95"/>
          <w:sz w:val="44"/>
          <w:szCs w:val="44"/>
        </w:rPr>
        <w:t xml:space="preserve"> 察隅县妇女联合会2023年度部门预算明细表（详见附件）</w:t>
      </w:r>
    </w:p>
    <w:p>
      <w:pPr>
        <w:spacing w:after="0" w:line="560" w:lineRule="exact"/>
        <w:jc w:val="center"/>
        <w:rPr>
          <w:rFonts w:hint="eastAsia" w:ascii="方正小标宋简体" w:hAnsi="方正小标宋简体" w:eastAsia="方正小标宋简体" w:cs="方正小标宋简体"/>
          <w:bCs/>
          <w:snapToGrid w:val="0"/>
          <w:w w:val="95"/>
          <w:sz w:val="44"/>
          <w:szCs w:val="44"/>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第三部分  察隅县妇女联合会2023年度部门预算数据分析</w:t>
      </w:r>
    </w:p>
    <w:p>
      <w:pPr>
        <w:spacing w:line="560" w:lineRule="exact"/>
        <w:jc w:val="both"/>
        <w:rPr>
          <w:rFonts w:ascii="黑体" w:hAnsi="黑体" w:eastAsia="黑体"/>
          <w:b/>
          <w:snapToGrid w:val="0"/>
          <w:w w:val="95"/>
          <w:sz w:val="32"/>
          <w:szCs w:val="32"/>
        </w:rPr>
      </w:pP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一、2023年部门收支总表的说明</w:t>
      </w:r>
    </w:p>
    <w:p>
      <w:pPr>
        <w:spacing w:after="0" w:line="560" w:lineRule="exact"/>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2023年收支总预算108.4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等。与2022年对比，收入增加13.91万元，主要原因：</w:t>
      </w:r>
      <w:r>
        <w:rPr>
          <w:rFonts w:hint="eastAsia" w:ascii="仿宋_GB2312" w:hAnsi="仿宋_GB2312" w:eastAsia="仿宋_GB2312" w:cs="仿宋_GB2312"/>
          <w:snapToGrid w:val="0"/>
          <w:w w:val="95"/>
          <w:sz w:val="32"/>
          <w:szCs w:val="32"/>
        </w:rPr>
        <w:t>人员工资福利增长，计提比例增加,项目支出也有所增加。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二、2023年度部门收入总表的说明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收入预算108.4万元，</w:t>
      </w:r>
      <w:r>
        <w:rPr>
          <w:rFonts w:hint="eastAsia" w:ascii="仿宋_GB2312" w:hAnsi="仿宋_GB2312" w:eastAsia="仿宋_GB2312" w:cs="仿宋_GB2312"/>
          <w:sz w:val="32"/>
          <w:szCs w:val="32"/>
          <w:lang w:eastAsia="zh-CN"/>
        </w:rPr>
        <w:t>主要是</w:t>
      </w:r>
      <w:r>
        <w:rPr>
          <w:rFonts w:hint="eastAsia" w:ascii="仿宋_GB2312" w:hAnsi="仿宋_GB2312" w:eastAsia="仿宋_GB2312" w:cs="仿宋_GB2312"/>
          <w:sz w:val="32"/>
          <w:szCs w:val="32"/>
        </w:rPr>
        <w:t>一般公共预算拨款收入106.81万元，占98%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比2022年预算数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12.32万元，增长11.53%，主要原因为人员经费增加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上年结转资金1.59万元，占2%。</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三、2023年部门支出总表的说明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2023年支出预算108.4万元，其中：基本支出   95.41万元，占88.02 %；主要用于人员经费和公用经费支出，项目支出12.99万元，占11.98 %。主要用于妇女工作专项经费支出，妇儿工委专项经费支出、“平安家庭”建设专项经费支出、三八妇女节活动经费等。</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四、2023年财政拨款收支总表的说明</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2023年财政拨款收支总预算108.4万元。收入为一般公共预算拨款，包括：一般公共预算当年拨款收入108.4万元、支出包括：一般公共服务支出108.4万元。与2022年对比，支出数增加13.91万元，主要原因：</w:t>
      </w:r>
      <w:r>
        <w:rPr>
          <w:rFonts w:hint="eastAsia" w:ascii="仿宋_GB2312" w:hAnsi="仿宋_GB2312" w:eastAsia="仿宋_GB2312" w:cs="仿宋_GB2312"/>
          <w:snapToGrid w:val="0"/>
          <w:w w:val="95"/>
          <w:sz w:val="32"/>
          <w:szCs w:val="32"/>
        </w:rPr>
        <w:t>人员工资福利增长，计提比例增加,妇女工作专项经费支出有所增加。</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五、2023年一般公共预算支出表的说明</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after="0" w:line="560" w:lineRule="exact"/>
        <w:ind w:firstLine="640" w:firstLineChars="200"/>
        <w:jc w:val="both"/>
        <w:rPr>
          <w:rFonts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2023年一般公共预算当年拨款108.4万元,比2022 年执行数增加13.91万元，增长12.8%。主要原因：</w:t>
      </w:r>
      <w:r>
        <w:rPr>
          <w:rFonts w:hint="eastAsia" w:ascii="仿宋_GB2312" w:hAnsi="仿宋_GB2312" w:eastAsia="仿宋_GB2312" w:cs="仿宋_GB2312"/>
          <w:snapToGrid w:val="0"/>
          <w:w w:val="95"/>
          <w:sz w:val="32"/>
          <w:szCs w:val="32"/>
        </w:rPr>
        <w:t>人员增加，计提比例增加,项目支出也有所增加。</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108.4万元，占100 %；包括基本支出95.41万元，项目支出12.99万元。其中，一般公共服务支出87.03万元，占80.28%；社会保障和就业支出9.1万元，占8.4%；卫生健康支出5.49万元，占5.12%；住房保障支出6.78万元，占6.2%。</w:t>
      </w:r>
    </w:p>
    <w:p>
      <w:pPr>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（三）一般公共预算当年拨款具体使用情况。 </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1.一般公共服务支出（类）群众团体事务（款）行政运行（项）2023年预算数为85.44万元。比2022年的执行数多了22.29万元，增长23%，主要是因为人员经费增加。</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2.一般公共服务支出（类）群众团体事务（款）一般行政管理事务（项）2023年预算数为1.59万元。比2022年的执行数少了9.81万元，下降42.3%，主要是因为项目的减少。</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3</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社会保障和就业支出（类）行政事业单位养老支出（款）机关事业单位基本养老保险缴费支出（项）2023年预算数为9.02万元。比2022年的执行数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1.19万元，增长12.5%，主要是因为人员经费增加。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4.</w:t>
      </w:r>
      <w:r>
        <w:rPr>
          <w:rFonts w:hint="eastAsia" w:ascii="仿宋_GB2312" w:hAnsi="仿宋_GB2312" w:eastAsia="仿宋_GB2312" w:cs="仿宋_GB2312"/>
          <w:sz w:val="32"/>
          <w:szCs w:val="32"/>
        </w:rPr>
        <w:t>社会保障和就业支出（类）财政对其他社会保险基金的补助（款）财政对工伤保险基金的补助（项）2023年预算数为9.02万元。比2022年的执行数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8.82万元，增长45.6%，主要是因为人员经费增加。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5.</w:t>
      </w:r>
      <w:r>
        <w:rPr>
          <w:rFonts w:hint="eastAsia" w:ascii="仿宋_GB2312" w:hAnsi="仿宋_GB2312" w:eastAsia="仿宋_GB2312" w:cs="仿宋_GB2312"/>
          <w:sz w:val="32"/>
          <w:szCs w:val="32"/>
        </w:rPr>
        <w:t>卫生健康支出（类）行政事业单位医疗（款）公务员医疗补助（项）2023年预算数为1.14万元。比2022年的执行数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0.33万元，下降15.6%，主要是因为本年度公务员医疗补助经费减少。</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6.</w:t>
      </w:r>
      <w:r>
        <w:rPr>
          <w:rFonts w:hint="eastAsia" w:ascii="仿宋_GB2312" w:hAnsi="仿宋_GB2312" w:eastAsia="仿宋_GB2312" w:cs="仿宋_GB2312"/>
          <w:sz w:val="32"/>
          <w:szCs w:val="32"/>
        </w:rPr>
        <w:t xml:space="preserve"> 卫生健康支出（类）财政对基本医疗保险基金的补助（款）财政对职工基本医疗保险基金的补助（项）2023年预算数为4.35万元。比2022年的执行数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0.09万元，增长4.2%，主要是因为人员经费增加。</w:t>
      </w:r>
    </w:p>
    <w:p>
      <w:pPr>
        <w:spacing w:after="0" w:line="560" w:lineRule="exact"/>
        <w:ind w:firstLine="608"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7.</w:t>
      </w:r>
      <w:r>
        <w:rPr>
          <w:rFonts w:hint="eastAsia" w:ascii="仿宋_GB2312" w:hAnsi="仿宋_GB2312" w:eastAsia="仿宋_GB2312" w:cs="仿宋_GB2312"/>
          <w:sz w:val="32"/>
          <w:szCs w:val="32"/>
        </w:rPr>
        <w:t xml:space="preserve"> 住房保障支出（类）住房改革支出（款）住房公积金（项）2023年预算数为6.78万元。比2022年的执行数</w:t>
      </w:r>
      <w:r>
        <w:rPr>
          <w:rFonts w:hint="eastAsia" w:ascii="仿宋_GB2312" w:hAnsi="仿宋_GB2312" w:eastAsia="仿宋_GB2312" w:cs="仿宋_GB2312"/>
          <w:sz w:val="32"/>
          <w:szCs w:val="32"/>
          <w:lang w:eastAsia="zh-CN"/>
        </w:rPr>
        <w:t>增加</w:t>
      </w:r>
      <w:bookmarkStart w:id="0" w:name="_GoBack"/>
      <w:bookmarkEnd w:id="0"/>
      <w:r>
        <w:rPr>
          <w:rFonts w:hint="eastAsia" w:ascii="仿宋_GB2312" w:hAnsi="仿宋_GB2312" w:eastAsia="仿宋_GB2312" w:cs="仿宋_GB2312"/>
          <w:sz w:val="32"/>
          <w:szCs w:val="32"/>
        </w:rPr>
        <w:t>0.5万元，增长9.2%，主要是因为人员经费增加。</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六、2023年一般公共预算基本支出表的说明</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2023年一般公共预算基本支出95.41万元，其中：</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人员经费85.81 万元，主要包括工资福利支出（基本工资、津贴补贴、奖金、机关事业单位基本养老保险缴费、职工基本医疗保险缴费、公务员医疗补助缴费、其他社会保障缴费、住房公积金、其他工资福利支出）。</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公用经费9.6万元，主要包括商品和服务支出（办公费、印刷费、水费、电费、邮电费、取暖费、差旅费、维修(护)费、会议费、培训费、公务接待费、委托业务费、公务用车运行维护费、其他商品和服务支出）。</w:t>
      </w:r>
    </w:p>
    <w:p>
      <w:pPr>
        <w:spacing w:after="0" w:line="560" w:lineRule="exact"/>
        <w:ind w:firstLine="640" w:firstLineChars="200"/>
        <w:jc w:val="both"/>
        <w:rPr>
          <w:rFonts w:ascii="仿宋" w:hAnsi="仿宋" w:eastAsia="仿宋"/>
          <w:sz w:val="32"/>
          <w:szCs w:val="32"/>
        </w:rPr>
      </w:pPr>
      <w:r>
        <w:rPr>
          <w:rFonts w:hint="eastAsia" w:ascii="黑体" w:hAnsi="黑体" w:eastAsia="黑体"/>
          <w:sz w:val="32"/>
          <w:szCs w:val="32"/>
        </w:rPr>
        <w:t>七、2023年度一般公共预算“三公”经费预算情况说明</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2023年“三公”经费预算数为1.35万元，和2022年相同。</w:t>
      </w:r>
    </w:p>
    <w:p>
      <w:pPr>
        <w:numPr>
          <w:ilvl w:val="0"/>
          <w:numId w:val="0"/>
        </w:numPr>
        <w:spacing w:after="0" w:line="560" w:lineRule="exact"/>
        <w:ind w:firstLine="608" w:firstLineChars="200"/>
        <w:jc w:val="both"/>
        <w:rPr>
          <w:rFonts w:ascii="仿宋_GB2312" w:hAnsi="宋体"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1.</w:t>
      </w:r>
      <w:r>
        <w:rPr>
          <w:rFonts w:hint="eastAsia" w:ascii="楷体_GB2312" w:hAnsi="楷体_GB2312" w:eastAsia="楷体_GB2312" w:cs="楷体_GB2312"/>
          <w:snapToGrid w:val="0"/>
          <w:w w:val="95"/>
          <w:sz w:val="32"/>
          <w:szCs w:val="32"/>
        </w:rPr>
        <w:t>因公出国（境）费用。</w:t>
      </w:r>
      <w:r>
        <w:rPr>
          <w:rFonts w:hint="eastAsia" w:ascii="仿宋_GB2312" w:hAnsi="宋体" w:eastAsia="仿宋_GB2312" w:cs="仿宋_GB2312"/>
          <w:w w:val="95"/>
          <w:sz w:val="32"/>
          <w:szCs w:val="32"/>
        </w:rPr>
        <w:t>2023</w:t>
      </w:r>
      <w:r>
        <w:rPr>
          <w:rFonts w:hint="eastAsia" w:ascii="仿宋_GB2312" w:hAnsi="宋体" w:eastAsia="仿宋_GB2312" w:cs="仿宋_GB2312"/>
          <w:snapToGrid w:val="0"/>
          <w:w w:val="95"/>
          <w:sz w:val="32"/>
          <w:szCs w:val="32"/>
        </w:rPr>
        <w:t>年预算数为</w:t>
      </w:r>
      <w:r>
        <w:rPr>
          <w:rFonts w:hint="eastAsia" w:ascii="仿宋_GB2312" w:hAnsi="宋体" w:eastAsia="仿宋_GB2312" w:cs="仿宋_GB2312"/>
          <w:w w:val="95"/>
          <w:sz w:val="32"/>
          <w:szCs w:val="32"/>
        </w:rPr>
        <w:t>0</w:t>
      </w:r>
      <w:r>
        <w:rPr>
          <w:rFonts w:hint="eastAsia" w:ascii="仿宋_GB2312" w:hAnsi="宋体" w:eastAsia="仿宋_GB2312" w:cs="仿宋_GB2312"/>
          <w:snapToGrid w:val="0"/>
          <w:w w:val="95"/>
          <w:sz w:val="32"/>
          <w:szCs w:val="32"/>
        </w:rPr>
        <w:t>万元。为进一步规范因公出国（境）费用管理，我县因公出国（境）费用按照零基预算原则，因此因公出国（境）费用预算为零。</w:t>
      </w:r>
    </w:p>
    <w:p>
      <w:pPr>
        <w:numPr>
          <w:ilvl w:val="0"/>
          <w:numId w:val="0"/>
        </w:numPr>
        <w:spacing w:after="0" w:line="560" w:lineRule="exact"/>
        <w:ind w:firstLine="608" w:firstLineChars="200"/>
        <w:jc w:val="both"/>
        <w:rPr>
          <w:rFonts w:ascii="仿宋_GB2312" w:hAnsi="宋体" w:eastAsia="仿宋_GB2312" w:cs="仿宋_GB2312"/>
          <w:w w:val="95"/>
          <w:sz w:val="32"/>
          <w:szCs w:val="32"/>
        </w:rPr>
      </w:pPr>
      <w:r>
        <w:rPr>
          <w:rFonts w:hint="eastAsia" w:ascii="楷体_GB2312" w:hAnsi="楷体_GB2312" w:eastAsia="楷体_GB2312" w:cs="楷体_GB2312"/>
          <w:snapToGrid w:val="0"/>
          <w:w w:val="95"/>
          <w:sz w:val="32"/>
          <w:szCs w:val="32"/>
          <w:lang w:val="en-US" w:eastAsia="zh-CN"/>
        </w:rPr>
        <w:t>2.</w:t>
      </w:r>
      <w:r>
        <w:rPr>
          <w:rFonts w:hint="eastAsia" w:ascii="楷体_GB2312" w:hAnsi="楷体_GB2312" w:eastAsia="楷体_GB2312" w:cs="楷体_GB2312"/>
          <w:snapToGrid w:val="0"/>
          <w:w w:val="95"/>
          <w:sz w:val="32"/>
          <w:szCs w:val="32"/>
        </w:rPr>
        <w:t>公务用车购置及运行费。</w:t>
      </w:r>
      <w:r>
        <w:rPr>
          <w:rFonts w:hint="eastAsia" w:ascii="仿宋_GB2312" w:hAnsi="宋体" w:eastAsia="仿宋_GB2312" w:cs="仿宋_GB2312"/>
          <w:w w:val="95"/>
          <w:sz w:val="32"/>
          <w:szCs w:val="32"/>
        </w:rPr>
        <w:t>2023</w:t>
      </w:r>
      <w:r>
        <w:rPr>
          <w:rFonts w:hint="eastAsia" w:ascii="仿宋_GB2312" w:hAnsi="宋体" w:eastAsia="仿宋_GB2312" w:cs="仿宋_GB2312"/>
          <w:snapToGrid w:val="0"/>
          <w:w w:val="95"/>
          <w:sz w:val="32"/>
          <w:szCs w:val="32"/>
        </w:rPr>
        <w:t>年有预算数</w:t>
      </w:r>
      <w:r>
        <w:rPr>
          <w:rFonts w:hint="eastAsia" w:ascii="仿宋" w:hAnsi="仿宋" w:eastAsia="仿宋"/>
          <w:sz w:val="32"/>
          <w:szCs w:val="32"/>
        </w:rPr>
        <w:t>0.9</w:t>
      </w:r>
      <w:r>
        <w:rPr>
          <w:rFonts w:hint="eastAsia" w:ascii="仿宋_GB2312" w:hAnsi="宋体" w:eastAsia="仿宋_GB2312" w:cs="仿宋_GB2312"/>
          <w:snapToGrid w:val="0"/>
          <w:w w:val="95"/>
          <w:sz w:val="32"/>
          <w:szCs w:val="32"/>
        </w:rPr>
        <w:t>万元。其中：</w:t>
      </w:r>
    </w:p>
    <w:p>
      <w:pPr>
        <w:spacing w:after="0" w:line="560" w:lineRule="exact"/>
        <w:ind w:firstLine="608" w:firstLineChars="200"/>
        <w:jc w:val="both"/>
        <w:rPr>
          <w:rFonts w:ascii="仿宋_GB2312" w:hAnsi="宋体" w:eastAsia="仿宋_GB2312" w:cs="仿宋_GB2312"/>
          <w:w w:val="95"/>
          <w:sz w:val="32"/>
          <w:szCs w:val="32"/>
        </w:rPr>
      </w:pPr>
      <w:r>
        <w:rPr>
          <w:rFonts w:hint="eastAsia" w:ascii="仿宋_GB2312" w:hAnsi="宋体" w:eastAsia="仿宋_GB2312" w:cs="仿宋_GB2312"/>
          <w:snapToGrid w:val="0"/>
          <w:w w:val="95"/>
          <w:sz w:val="32"/>
          <w:szCs w:val="32"/>
        </w:rPr>
        <w:t>（</w:t>
      </w:r>
      <w:r>
        <w:rPr>
          <w:rFonts w:hint="eastAsia" w:ascii="仿宋_GB2312" w:hAnsi="宋体" w:eastAsia="仿宋_GB2312" w:cs="仿宋_GB2312"/>
          <w:w w:val="95"/>
          <w:sz w:val="32"/>
          <w:szCs w:val="32"/>
        </w:rPr>
        <w:t>1</w:t>
      </w:r>
      <w:r>
        <w:rPr>
          <w:rFonts w:hint="eastAsia" w:ascii="仿宋_GB2312" w:hAnsi="宋体" w:eastAsia="仿宋_GB2312" w:cs="仿宋_GB2312"/>
          <w:snapToGrid w:val="0"/>
          <w:w w:val="95"/>
          <w:sz w:val="32"/>
          <w:szCs w:val="32"/>
        </w:rPr>
        <w:t>）公务用车购置费。</w:t>
      </w:r>
      <w:r>
        <w:rPr>
          <w:rFonts w:hint="eastAsia" w:ascii="仿宋_GB2312" w:hAnsi="宋体" w:eastAsia="仿宋_GB2312" w:cs="仿宋_GB2312"/>
          <w:w w:val="95"/>
          <w:sz w:val="32"/>
          <w:szCs w:val="32"/>
        </w:rPr>
        <w:t>2023</w:t>
      </w:r>
      <w:r>
        <w:rPr>
          <w:rFonts w:hint="eastAsia" w:ascii="仿宋_GB2312" w:hAnsi="宋体" w:eastAsia="仿宋_GB2312" w:cs="仿宋_GB2312"/>
          <w:snapToGrid w:val="0"/>
          <w:w w:val="95"/>
          <w:sz w:val="32"/>
          <w:szCs w:val="32"/>
        </w:rPr>
        <w:t>年公务用车购置费预算数为</w:t>
      </w:r>
      <w:r>
        <w:rPr>
          <w:rFonts w:hint="eastAsia" w:ascii="仿宋_GB2312" w:hAnsi="宋体" w:eastAsia="仿宋_GB2312" w:cs="仿宋_GB2312"/>
          <w:w w:val="95"/>
          <w:sz w:val="32"/>
          <w:szCs w:val="32"/>
        </w:rPr>
        <w:t>0.00</w:t>
      </w:r>
      <w:r>
        <w:rPr>
          <w:rFonts w:hint="eastAsia" w:ascii="仿宋_GB2312" w:hAnsi="宋体" w:eastAsia="仿宋_GB2312" w:cs="仿宋_GB2312"/>
          <w:snapToGrid w:val="0"/>
          <w:w w:val="95"/>
          <w:sz w:val="32"/>
          <w:szCs w:val="32"/>
        </w:rPr>
        <w:t>万元（公务用车购置严格按照我县车辆管理及厉行节约有关要求实行总额控制），与</w:t>
      </w:r>
      <w:r>
        <w:rPr>
          <w:rFonts w:hint="eastAsia" w:ascii="仿宋_GB2312" w:hAnsi="宋体" w:eastAsia="仿宋_GB2312" w:cs="仿宋_GB2312"/>
          <w:w w:val="95"/>
          <w:sz w:val="32"/>
          <w:szCs w:val="32"/>
        </w:rPr>
        <w:t>2022</w:t>
      </w:r>
      <w:r>
        <w:rPr>
          <w:rFonts w:hint="eastAsia" w:ascii="仿宋_GB2312" w:hAnsi="宋体" w:eastAsia="仿宋_GB2312" w:cs="仿宋_GB2312"/>
          <w:snapToGrid w:val="0"/>
          <w:w w:val="95"/>
          <w:sz w:val="32"/>
          <w:szCs w:val="32"/>
        </w:rPr>
        <w:t>年预算数持平。</w:t>
      </w:r>
    </w:p>
    <w:p>
      <w:pPr>
        <w:spacing w:after="0" w:line="560" w:lineRule="exact"/>
        <w:ind w:firstLine="608" w:firstLineChars="200"/>
        <w:jc w:val="both"/>
        <w:rPr>
          <w:rFonts w:ascii="仿宋_GB2312" w:hAnsi="宋体" w:eastAsia="仿宋_GB2312" w:cs="仿宋_GB2312"/>
          <w:snapToGrid w:val="0"/>
          <w:w w:val="95"/>
          <w:sz w:val="32"/>
          <w:szCs w:val="32"/>
          <w:highlight w:val="yellow"/>
        </w:rPr>
      </w:pPr>
      <w:r>
        <w:rPr>
          <w:rFonts w:hint="eastAsia" w:ascii="仿宋_GB2312" w:hAnsi="宋体" w:eastAsia="仿宋_GB2312" w:cs="仿宋_GB2312"/>
          <w:snapToGrid w:val="0"/>
          <w:w w:val="95"/>
          <w:sz w:val="32"/>
          <w:szCs w:val="32"/>
        </w:rPr>
        <w:t>（2）公务用车运行费。</w:t>
      </w:r>
      <w:r>
        <w:rPr>
          <w:rFonts w:hint="eastAsia" w:ascii="仿宋_GB2312" w:hAnsi="宋体" w:eastAsia="仿宋_GB2312" w:cs="仿宋_GB2312"/>
          <w:w w:val="95"/>
          <w:sz w:val="32"/>
          <w:szCs w:val="32"/>
        </w:rPr>
        <w:t>2023</w:t>
      </w:r>
      <w:r>
        <w:rPr>
          <w:rFonts w:hint="eastAsia" w:ascii="仿宋_GB2312" w:hAnsi="宋体" w:eastAsia="仿宋_GB2312" w:cs="仿宋_GB2312"/>
          <w:snapToGrid w:val="0"/>
          <w:w w:val="95"/>
          <w:sz w:val="32"/>
          <w:szCs w:val="32"/>
        </w:rPr>
        <w:t>年有预算数</w:t>
      </w:r>
      <w:r>
        <w:rPr>
          <w:rFonts w:hint="eastAsia" w:ascii="仿宋" w:hAnsi="仿宋" w:eastAsia="仿宋"/>
          <w:sz w:val="32"/>
          <w:szCs w:val="32"/>
        </w:rPr>
        <w:t>0.9</w:t>
      </w:r>
      <w:r>
        <w:rPr>
          <w:rFonts w:hint="eastAsia" w:ascii="仿宋_GB2312" w:hAnsi="宋体" w:eastAsia="仿宋_GB2312" w:cs="仿宋_GB2312"/>
          <w:snapToGrid w:val="0"/>
          <w:w w:val="95"/>
          <w:sz w:val="32"/>
          <w:szCs w:val="32"/>
        </w:rPr>
        <w:t>万元。较2022年增长25%，主要原因为工作量增加，下乡出差次数预计增加。单位公务用车实有量0辆，保有量0辆。</w:t>
      </w:r>
    </w:p>
    <w:p>
      <w:pPr>
        <w:spacing w:after="0" w:line="560" w:lineRule="exact"/>
        <w:ind w:firstLine="608" w:firstLineChars="200"/>
        <w:rPr>
          <w:rFonts w:ascii="仿宋" w:hAnsi="仿宋" w:eastAsia="仿宋"/>
          <w:sz w:val="32"/>
          <w:szCs w:val="32"/>
        </w:rPr>
      </w:pPr>
      <w:r>
        <w:rPr>
          <w:rFonts w:hint="eastAsia" w:ascii="楷体_GB2312" w:hAnsi="楷体_GB2312" w:eastAsia="楷体_GB2312" w:cs="楷体_GB2312"/>
          <w:snapToGrid w:val="0"/>
          <w:w w:val="95"/>
          <w:sz w:val="32"/>
          <w:szCs w:val="32"/>
        </w:rPr>
        <w:t>3</w:t>
      </w:r>
      <w:r>
        <w:rPr>
          <w:rFonts w:hint="eastAsia" w:ascii="楷体_GB2312" w:hAnsi="楷体_GB2312" w:eastAsia="楷体_GB2312" w:cs="楷体_GB2312"/>
          <w:snapToGrid w:val="0"/>
          <w:w w:val="95"/>
          <w:sz w:val="32"/>
          <w:szCs w:val="32"/>
          <w:lang w:val="en-US" w:eastAsia="zh-CN"/>
        </w:rPr>
        <w:t>.</w:t>
      </w:r>
      <w:r>
        <w:rPr>
          <w:rFonts w:hint="eastAsia" w:ascii="楷体_GB2312" w:hAnsi="楷体_GB2312" w:eastAsia="楷体_GB2312" w:cs="楷体_GB2312"/>
          <w:snapToGrid w:val="0"/>
          <w:w w:val="95"/>
          <w:sz w:val="32"/>
          <w:szCs w:val="32"/>
        </w:rPr>
        <w:t>公务接待费。</w:t>
      </w:r>
      <w:r>
        <w:rPr>
          <w:rFonts w:hint="eastAsia" w:ascii="仿宋_GB2312" w:hAnsi="宋体" w:eastAsia="仿宋_GB2312" w:cs="仿宋_GB2312"/>
          <w:snapToGrid w:val="0"/>
          <w:w w:val="95"/>
          <w:sz w:val="32"/>
          <w:szCs w:val="32"/>
        </w:rPr>
        <w:t>2023年有预算数0.45万元。和2022年相同，</w:t>
      </w:r>
      <w:r>
        <w:rPr>
          <w:rFonts w:hint="eastAsia" w:ascii="仿宋_GB2312" w:hAnsi="黑体" w:eastAsia="仿宋_GB2312"/>
          <w:snapToGrid w:val="0"/>
          <w:w w:val="95"/>
          <w:sz w:val="32"/>
          <w:szCs w:val="32"/>
        </w:rPr>
        <w:t>我部门按照公务接待相关要求，厉行勤俭节约严格控制不必要的公务接待费支出。</w:t>
      </w:r>
    </w:p>
    <w:p>
      <w:pPr>
        <w:spacing w:after="0" w:line="560" w:lineRule="exact"/>
        <w:ind w:firstLine="608"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八、2023年度政府性基金预算支出情况说明</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仿宋_GB2312" w:hAnsi="仿宋_GB2312" w:eastAsia="仿宋_GB2312" w:cs="仿宋_GB2312"/>
          <w:snapToGrid w:val="0"/>
          <w:w w:val="95"/>
          <w:sz w:val="32"/>
          <w:szCs w:val="32"/>
        </w:rPr>
        <w:t>2023年政府性基金预算当年拨款0万元,比2022年执行数减少0万元。主要原因是我部门2023年度没有政府性基金安排的支出</w:t>
      </w:r>
      <w:r>
        <w:rPr>
          <w:rFonts w:hint="eastAsia" w:ascii="楷体_GB2312" w:hAnsi="楷体_GB2312" w:eastAsia="楷体_GB2312" w:cs="楷体_GB2312"/>
          <w:snapToGrid w:val="0"/>
          <w:w w:val="95"/>
          <w:sz w:val="32"/>
          <w:szCs w:val="32"/>
        </w:rPr>
        <w:t>。</w:t>
      </w:r>
    </w:p>
    <w:p>
      <w:pPr>
        <w:spacing w:after="0" w:line="560" w:lineRule="exact"/>
        <w:ind w:firstLine="608" w:firstLineChars="200"/>
        <w:jc w:val="both"/>
        <w:rPr>
          <w:rFonts w:ascii="黑体" w:hAnsi="黑体" w:eastAsia="黑体" w:cs="黑体"/>
          <w:bCs/>
          <w:snapToGrid w:val="0"/>
          <w:w w:val="95"/>
          <w:sz w:val="32"/>
          <w:szCs w:val="32"/>
        </w:rPr>
      </w:pPr>
      <w:r>
        <w:rPr>
          <w:rFonts w:hint="eastAsia" w:ascii="黑体" w:hAnsi="黑体" w:eastAsia="黑体" w:cs="黑体"/>
          <w:bCs/>
          <w:snapToGrid w:val="0"/>
          <w:w w:val="95"/>
          <w:sz w:val="32"/>
          <w:szCs w:val="32"/>
        </w:rPr>
        <w:t>九、其他公开事项说明</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（一）机关运行经费安排使用情况说明。</w:t>
      </w:r>
    </w:p>
    <w:p>
      <w:pPr>
        <w:autoSpaceDE w:val="0"/>
        <w:autoSpaceDN w:val="0"/>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2023年部门县级妇联1家行政单位的机关运行经费财政拨款预算9.6万元，比2022年预算增加2.4万元，增长20%。</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（二）政府采购情况说明。</w:t>
      </w:r>
    </w:p>
    <w:p>
      <w:pPr>
        <w:autoSpaceDE w:val="0"/>
        <w:autoSpaceDN w:val="0"/>
        <w:spacing w:after="0" w:line="560" w:lineRule="exact"/>
        <w:ind w:firstLine="608" w:firstLineChars="200"/>
        <w:rPr>
          <w:rFonts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2023年本部门及所属各预算单位政府采购预算总额0万元，其中：政府采购货物预算0万元、政府采购工程预算0万元、政府采购服务预算0万元。</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（三）国有资产占有使用情况说明。</w:t>
      </w:r>
    </w:p>
    <w:p>
      <w:pPr>
        <w:autoSpaceDE w:val="0"/>
        <w:autoSpaceDN w:val="0"/>
        <w:spacing w:after="0" w:line="560" w:lineRule="exact"/>
        <w:ind w:firstLine="608" w:firstLineChars="200"/>
        <w:jc w:val="both"/>
        <w:rPr>
          <w:rFonts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截至2023年1月底，本部门及所属各预算单位共有车辆0辆，其中，领导干部用车（含在职和离退休部级干部用车）0辆、机要通信用车0辆、应急保障用车0辆、执法执勤用车0辆、特种专业技术用车0辆、其他用车0辆。单位价值50万元以上通用设备0台（套），单位价值100万元以上专用设备0台（套）。2023年一般公共预算安排对确实无法使用的0辆车进行更新购置。</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（四）2023年预算绩效目标管理情况。</w:t>
      </w:r>
    </w:p>
    <w:p>
      <w:pPr>
        <w:spacing w:after="0" w:line="560" w:lineRule="exact"/>
        <w:ind w:firstLine="608" w:firstLineChars="200"/>
        <w:jc w:val="both"/>
        <w:rPr>
          <w:rFonts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2023年实现财政支出绩效目标管理全覆盖，实行绩效目标管理12个，资金108.4万元，无政府重大决策和决策部署、影响力大且社会关注度高的项目。</w:t>
      </w:r>
    </w:p>
    <w:p>
      <w:pPr>
        <w:numPr>
          <w:ilvl w:val="0"/>
          <w:numId w:val="2"/>
        </w:num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扶贫资金管理使用情况及绩效目标情况说明。</w:t>
      </w:r>
    </w:p>
    <w:p>
      <w:pPr>
        <w:spacing w:after="0" w:line="560" w:lineRule="exact"/>
        <w:ind w:firstLine="608" w:firstLineChars="200"/>
        <w:jc w:val="both"/>
        <w:rPr>
          <w:rFonts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2023年度无扶贫资金预算安排。</w:t>
      </w:r>
    </w:p>
    <w:p>
      <w:pPr>
        <w:spacing w:after="0" w:line="560" w:lineRule="exact"/>
        <w:ind w:firstLine="608" w:firstLineChars="200"/>
        <w:jc w:val="both"/>
        <w:rPr>
          <w:rFonts w:ascii="楷体_GB2312" w:hAnsi="楷体_GB2312" w:eastAsia="楷体_GB2312" w:cs="楷体_GB2312"/>
          <w:snapToGrid w:val="0"/>
          <w:w w:val="95"/>
          <w:sz w:val="32"/>
          <w:szCs w:val="32"/>
        </w:rPr>
      </w:pPr>
      <w:r>
        <w:rPr>
          <w:rFonts w:hint="eastAsia" w:ascii="楷体_GB2312" w:hAnsi="楷体_GB2312" w:eastAsia="楷体_GB2312" w:cs="楷体_GB2312"/>
          <w:snapToGrid w:val="0"/>
          <w:w w:val="95"/>
          <w:sz w:val="32"/>
          <w:szCs w:val="32"/>
        </w:rPr>
        <w:t>（六）政府债务情况。</w:t>
      </w:r>
    </w:p>
    <w:p>
      <w:pPr>
        <w:spacing w:after="0" w:line="560" w:lineRule="exact"/>
        <w:ind w:firstLine="608" w:firstLineChars="200"/>
        <w:jc w:val="both"/>
        <w:rPr>
          <w:rFonts w:hint="eastAsia" w:ascii="仿宋_GB2312" w:hAnsi="宋体" w:eastAsia="仿宋_GB2312" w:cs="仿宋_GB2312"/>
          <w:snapToGrid w:val="0"/>
          <w:w w:val="95"/>
          <w:sz w:val="32"/>
          <w:szCs w:val="32"/>
        </w:rPr>
      </w:pPr>
      <w:r>
        <w:rPr>
          <w:rFonts w:hint="eastAsia" w:ascii="仿宋_GB2312" w:hAnsi="宋体" w:eastAsia="仿宋_GB2312" w:cs="仿宋_GB2312"/>
          <w:snapToGrid w:val="0"/>
          <w:w w:val="95"/>
          <w:sz w:val="32"/>
          <w:szCs w:val="32"/>
        </w:rPr>
        <w:t>本单位无举借债务情况。</w:t>
      </w:r>
    </w:p>
    <w:p>
      <w:pPr>
        <w:spacing w:after="0" w:line="560" w:lineRule="exact"/>
        <w:ind w:firstLine="608" w:firstLineChars="200"/>
        <w:jc w:val="both"/>
        <w:rPr>
          <w:rFonts w:hint="eastAsia" w:ascii="仿宋_GB2312" w:hAnsi="宋体" w:eastAsia="仿宋_GB2312" w:cs="仿宋_GB2312"/>
          <w:snapToGrid w:val="0"/>
          <w:w w:val="95"/>
          <w:sz w:val="32"/>
          <w:szCs w:val="32"/>
        </w:rPr>
      </w:pPr>
    </w:p>
    <w:p>
      <w:pPr>
        <w:spacing w:after="0" w:line="560" w:lineRule="exact"/>
        <w:jc w:val="center"/>
        <w:rPr>
          <w:rFonts w:ascii="方正小标宋简体" w:hAnsi="方正小标宋简体" w:eastAsia="方正小标宋简体" w:cs="方正小标宋简体"/>
          <w:bCs/>
          <w:snapToGrid w:val="0"/>
          <w:w w:val="95"/>
          <w:sz w:val="44"/>
          <w:szCs w:val="44"/>
        </w:rPr>
      </w:pPr>
      <w:r>
        <w:rPr>
          <w:rFonts w:hint="eastAsia" w:ascii="方正小标宋简体" w:hAnsi="方正小标宋简体" w:eastAsia="方正小标宋简体" w:cs="方正小标宋简体"/>
          <w:bCs/>
          <w:snapToGrid w:val="0"/>
          <w:w w:val="95"/>
          <w:sz w:val="44"/>
          <w:szCs w:val="44"/>
        </w:rPr>
        <w:t>第四部分  名词解释</w:t>
      </w:r>
    </w:p>
    <w:p>
      <w:pPr>
        <w:spacing w:after="0" w:line="560" w:lineRule="exact"/>
        <w:jc w:val="center"/>
        <w:rPr>
          <w:rFonts w:ascii="黑体" w:hAnsi="黑体" w:eastAsia="黑体"/>
          <w:bCs/>
          <w:snapToGrid w:val="0"/>
          <w:w w:val="95"/>
          <w:sz w:val="32"/>
          <w:szCs w:val="32"/>
        </w:rPr>
      </w:pPr>
    </w:p>
    <w:p>
      <w:pPr>
        <w:spacing w:after="0" w:line="560" w:lineRule="exact"/>
        <w:ind w:firstLine="640" w:firstLineChars="200"/>
        <w:jc w:val="both"/>
        <w:rPr>
          <w:rFonts w:ascii="仿宋_GB2312" w:hAnsi="宋体" w:eastAsia="仿宋_GB2312" w:cs="宋体"/>
          <w:sz w:val="32"/>
          <w:szCs w:val="32"/>
        </w:rPr>
      </w:pPr>
      <w:r>
        <w:rPr>
          <w:rFonts w:hint="eastAsia" w:ascii="黑体" w:hAnsi="黑体" w:eastAsia="黑体" w:cs="黑体"/>
          <w:sz w:val="32"/>
          <w:szCs w:val="32"/>
        </w:rPr>
        <w:t>一、一般公共预算拨款收入</w:t>
      </w:r>
      <w:r>
        <w:rPr>
          <w:rFonts w:hint="eastAsia" w:ascii="仿宋_GB2312" w:hAnsi="宋体" w:eastAsia="仿宋_GB2312" w:cs="宋体"/>
          <w:sz w:val="32"/>
          <w:szCs w:val="32"/>
        </w:rPr>
        <w:t>：指本级财政当年拨付的资金。</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二、其他收入：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三、上年结转：</w:t>
      </w:r>
      <w:r>
        <w:rPr>
          <w:rFonts w:hint="eastAsia" w:ascii="仿宋_GB2312" w:hAnsi="仿宋_GB2312" w:eastAsia="仿宋_GB2312" w:cs="仿宋_GB2312"/>
          <w:sz w:val="32"/>
          <w:szCs w:val="32"/>
        </w:rPr>
        <w:t>指以前年度安排、结转到本年仍按原规定用途继续使用的资金。</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四、一般公共服务支出：</w:t>
      </w:r>
      <w:r>
        <w:rPr>
          <w:rFonts w:hint="eastAsia" w:ascii="仿宋_GB2312" w:hAnsi="仿宋_GB2312" w:eastAsia="仿宋_GB2312" w:cs="仿宋_GB2312"/>
          <w:sz w:val="32"/>
          <w:szCs w:val="32"/>
        </w:rPr>
        <w:t>反应政府提供一般公共服务的支出。</w:t>
      </w:r>
    </w:p>
    <w:p>
      <w:pPr>
        <w:autoSpaceDE w:val="0"/>
        <w:autoSpaceDN w:val="0"/>
        <w:spacing w:after="0" w:line="560" w:lineRule="exact"/>
        <w:ind w:firstLine="640" w:firstLineChars="200"/>
        <w:jc w:val="both"/>
        <w:rPr>
          <w:rFonts w:ascii="仿宋_GB2312" w:eastAsia="仿宋_GB2312" w:cs="仿宋_GB2312" w:hAnsiTheme="minorHAnsi"/>
          <w:sz w:val="32"/>
          <w:szCs w:val="32"/>
        </w:rPr>
      </w:pPr>
      <w:r>
        <w:rPr>
          <w:rFonts w:hint="eastAsia" w:ascii="黑体" w:hAnsi="黑体" w:eastAsia="黑体"/>
          <w:sz w:val="32"/>
          <w:szCs w:val="32"/>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仿宋" w:hAnsi="仿宋" w:eastAsia="仿宋"/>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ascii="仿宋" w:hAnsi="仿宋" w:eastAsia="仿宋"/>
          <w:sz w:val="32"/>
          <w:szCs w:val="32"/>
        </w:rPr>
      </w:pPr>
      <w:r>
        <w:rPr>
          <w:rFonts w:hint="eastAsia" w:ascii="黑体" w:hAnsi="黑体" w:eastAsia="黑体" w:cs="黑体"/>
          <w:sz w:val="32"/>
          <w:szCs w:val="32"/>
        </w:rPr>
        <w:t>七、住房保障支出：</w:t>
      </w:r>
      <w:r>
        <w:rPr>
          <w:rFonts w:hint="eastAsia" w:ascii="仿宋_GB2312" w:hAnsi="仿宋_GB2312" w:eastAsia="仿宋_GB2312" w:cs="仿宋_GB2312"/>
          <w:sz w:val="32"/>
          <w:szCs w:val="32"/>
        </w:rPr>
        <w:t>集中反映政府用于住房方面的支出。</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九、“三公”经费：</w:t>
      </w:r>
      <w:r>
        <w:rPr>
          <w:rFonts w:hint="eastAsia" w:ascii="仿宋_GB2312" w:hAnsi="仿宋_GB2312" w:eastAsia="仿宋_GB2312" w:cs="仿宋_GB2312"/>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重点项目：</w:t>
      </w:r>
      <w:r>
        <w:rPr>
          <w:rFonts w:hint="eastAsia" w:ascii="仿宋_GB2312" w:hAnsi="仿宋_GB2312" w:eastAsia="仿宋_GB2312" w:cs="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rPr>
          <w:rFonts w:ascii="仿宋_GB2312" w:hAnsi="宋体" w:eastAsia="仿宋_GB2312" w:cs="宋体"/>
          <w:sz w:val="32"/>
          <w:szCs w:val="32"/>
        </w:rPr>
      </w:pPr>
    </w:p>
    <w:sectPr>
      <w:footerReference r:id="rId3"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- 5 -</w:t>
                </w:r>
                <w:r>
                  <w:rPr>
                    <w:rFonts w:hint="eastAsia" w:ascii="仿宋" w:hAnsi="仿宋" w:eastAsia="仿宋" w:cs="仿宋"/>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0B4C2"/>
    <w:multiLevelType w:val="singleLevel"/>
    <w:tmpl w:val="E6D0B4C2"/>
    <w:lvl w:ilvl="0" w:tentative="0">
      <w:start w:val="2"/>
      <w:numFmt w:val="chineseCounting"/>
      <w:suff w:val="space"/>
      <w:lvlText w:val="第%1部分"/>
      <w:lvlJc w:val="left"/>
      <w:rPr>
        <w:rFonts w:hint="eastAsia"/>
      </w:rPr>
    </w:lvl>
  </w:abstractNum>
  <w:abstractNum w:abstractNumId="1">
    <w:nsid w:val="22B1E231"/>
    <w:multiLevelType w:val="singleLevel"/>
    <w:tmpl w:val="22B1E23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068A0"/>
    <w:rsid w:val="000131C8"/>
    <w:rsid w:val="000149BB"/>
    <w:rsid w:val="000205B6"/>
    <w:rsid w:val="00043B76"/>
    <w:rsid w:val="00056E62"/>
    <w:rsid w:val="00065AC2"/>
    <w:rsid w:val="00094F3E"/>
    <w:rsid w:val="000B08E5"/>
    <w:rsid w:val="000C4FC1"/>
    <w:rsid w:val="000D20B1"/>
    <w:rsid w:val="000E24EC"/>
    <w:rsid w:val="001150CF"/>
    <w:rsid w:val="00121B3A"/>
    <w:rsid w:val="00124AFB"/>
    <w:rsid w:val="00135D9C"/>
    <w:rsid w:val="00141B97"/>
    <w:rsid w:val="001468A9"/>
    <w:rsid w:val="00170AE9"/>
    <w:rsid w:val="001834FB"/>
    <w:rsid w:val="0019029C"/>
    <w:rsid w:val="00194943"/>
    <w:rsid w:val="001A70AC"/>
    <w:rsid w:val="001A75E6"/>
    <w:rsid w:val="001B3308"/>
    <w:rsid w:val="001B7DD1"/>
    <w:rsid w:val="001D2123"/>
    <w:rsid w:val="001D3C35"/>
    <w:rsid w:val="001E1206"/>
    <w:rsid w:val="001E5C57"/>
    <w:rsid w:val="00217E49"/>
    <w:rsid w:val="00221544"/>
    <w:rsid w:val="00230DD0"/>
    <w:rsid w:val="00232036"/>
    <w:rsid w:val="0025255C"/>
    <w:rsid w:val="00265B6C"/>
    <w:rsid w:val="00287C81"/>
    <w:rsid w:val="002A1252"/>
    <w:rsid w:val="002D1A38"/>
    <w:rsid w:val="002D2DC7"/>
    <w:rsid w:val="002E1A51"/>
    <w:rsid w:val="002F4101"/>
    <w:rsid w:val="00305532"/>
    <w:rsid w:val="00306918"/>
    <w:rsid w:val="003104C5"/>
    <w:rsid w:val="00323B43"/>
    <w:rsid w:val="003431FF"/>
    <w:rsid w:val="003502AC"/>
    <w:rsid w:val="00352A47"/>
    <w:rsid w:val="00352BBB"/>
    <w:rsid w:val="003601CD"/>
    <w:rsid w:val="0038379C"/>
    <w:rsid w:val="00395909"/>
    <w:rsid w:val="003B5AE7"/>
    <w:rsid w:val="003C16A9"/>
    <w:rsid w:val="003D37D8"/>
    <w:rsid w:val="003D3D01"/>
    <w:rsid w:val="003D422F"/>
    <w:rsid w:val="003D5C23"/>
    <w:rsid w:val="003F6AD7"/>
    <w:rsid w:val="00402B15"/>
    <w:rsid w:val="004058CC"/>
    <w:rsid w:val="004237CC"/>
    <w:rsid w:val="00426133"/>
    <w:rsid w:val="0042770D"/>
    <w:rsid w:val="00432BA4"/>
    <w:rsid w:val="004358AB"/>
    <w:rsid w:val="00440A28"/>
    <w:rsid w:val="00460611"/>
    <w:rsid w:val="0046244B"/>
    <w:rsid w:val="00487080"/>
    <w:rsid w:val="0049496C"/>
    <w:rsid w:val="0049525C"/>
    <w:rsid w:val="00495932"/>
    <w:rsid w:val="004A2C77"/>
    <w:rsid w:val="004C35E0"/>
    <w:rsid w:val="004C3E48"/>
    <w:rsid w:val="004D69F7"/>
    <w:rsid w:val="00504015"/>
    <w:rsid w:val="00512CA9"/>
    <w:rsid w:val="00517341"/>
    <w:rsid w:val="00530EE9"/>
    <w:rsid w:val="00553982"/>
    <w:rsid w:val="00563A08"/>
    <w:rsid w:val="00582C6C"/>
    <w:rsid w:val="00587AC9"/>
    <w:rsid w:val="00590A3C"/>
    <w:rsid w:val="00596433"/>
    <w:rsid w:val="005B025C"/>
    <w:rsid w:val="005B4BD7"/>
    <w:rsid w:val="005D69C8"/>
    <w:rsid w:val="00605E6C"/>
    <w:rsid w:val="00622816"/>
    <w:rsid w:val="00622E39"/>
    <w:rsid w:val="0062627F"/>
    <w:rsid w:val="0064767A"/>
    <w:rsid w:val="00652C2E"/>
    <w:rsid w:val="0065762C"/>
    <w:rsid w:val="006761A8"/>
    <w:rsid w:val="006836BE"/>
    <w:rsid w:val="006B5F1C"/>
    <w:rsid w:val="006D1614"/>
    <w:rsid w:val="006D6DCD"/>
    <w:rsid w:val="006E49C0"/>
    <w:rsid w:val="006F4D29"/>
    <w:rsid w:val="0070063A"/>
    <w:rsid w:val="00710F52"/>
    <w:rsid w:val="007400C8"/>
    <w:rsid w:val="007442FD"/>
    <w:rsid w:val="00761050"/>
    <w:rsid w:val="00761184"/>
    <w:rsid w:val="0077607A"/>
    <w:rsid w:val="007848AB"/>
    <w:rsid w:val="0079768E"/>
    <w:rsid w:val="007A0624"/>
    <w:rsid w:val="007A0D64"/>
    <w:rsid w:val="007A581C"/>
    <w:rsid w:val="007C2FC3"/>
    <w:rsid w:val="007F3C88"/>
    <w:rsid w:val="007F64B4"/>
    <w:rsid w:val="007F65E5"/>
    <w:rsid w:val="008000EE"/>
    <w:rsid w:val="0081287C"/>
    <w:rsid w:val="008128B3"/>
    <w:rsid w:val="00816270"/>
    <w:rsid w:val="00852050"/>
    <w:rsid w:val="0085542A"/>
    <w:rsid w:val="008607B7"/>
    <w:rsid w:val="0088342B"/>
    <w:rsid w:val="00894ACA"/>
    <w:rsid w:val="008A3245"/>
    <w:rsid w:val="008A4248"/>
    <w:rsid w:val="008A4728"/>
    <w:rsid w:val="008B7726"/>
    <w:rsid w:val="008C7ECD"/>
    <w:rsid w:val="008D1D05"/>
    <w:rsid w:val="009309D0"/>
    <w:rsid w:val="0099619A"/>
    <w:rsid w:val="009B58F6"/>
    <w:rsid w:val="009C1E95"/>
    <w:rsid w:val="009D2FE1"/>
    <w:rsid w:val="009D379B"/>
    <w:rsid w:val="009E2D20"/>
    <w:rsid w:val="009E2E9D"/>
    <w:rsid w:val="009F305D"/>
    <w:rsid w:val="00A0343F"/>
    <w:rsid w:val="00A06BD4"/>
    <w:rsid w:val="00A201BF"/>
    <w:rsid w:val="00A25DF5"/>
    <w:rsid w:val="00A34078"/>
    <w:rsid w:val="00A53E73"/>
    <w:rsid w:val="00A729A7"/>
    <w:rsid w:val="00A80816"/>
    <w:rsid w:val="00A81D11"/>
    <w:rsid w:val="00A953D2"/>
    <w:rsid w:val="00AC23D3"/>
    <w:rsid w:val="00AD10B3"/>
    <w:rsid w:val="00B50553"/>
    <w:rsid w:val="00B63635"/>
    <w:rsid w:val="00B703F3"/>
    <w:rsid w:val="00B75BFC"/>
    <w:rsid w:val="00B8335C"/>
    <w:rsid w:val="00B95D6E"/>
    <w:rsid w:val="00B96172"/>
    <w:rsid w:val="00BA7DC2"/>
    <w:rsid w:val="00BE5768"/>
    <w:rsid w:val="00BF0EB4"/>
    <w:rsid w:val="00BF1BD3"/>
    <w:rsid w:val="00C11F5B"/>
    <w:rsid w:val="00C13A1F"/>
    <w:rsid w:val="00C25C61"/>
    <w:rsid w:val="00C448C2"/>
    <w:rsid w:val="00C5220F"/>
    <w:rsid w:val="00C63515"/>
    <w:rsid w:val="00C70CB5"/>
    <w:rsid w:val="00C81ACF"/>
    <w:rsid w:val="00C91B79"/>
    <w:rsid w:val="00C9253E"/>
    <w:rsid w:val="00CB10F0"/>
    <w:rsid w:val="00CC10CA"/>
    <w:rsid w:val="00CD3051"/>
    <w:rsid w:val="00CD3280"/>
    <w:rsid w:val="00CD62BB"/>
    <w:rsid w:val="00CE31FA"/>
    <w:rsid w:val="00CF42AF"/>
    <w:rsid w:val="00CF7606"/>
    <w:rsid w:val="00D21895"/>
    <w:rsid w:val="00D31D50"/>
    <w:rsid w:val="00D34960"/>
    <w:rsid w:val="00D43550"/>
    <w:rsid w:val="00D46130"/>
    <w:rsid w:val="00D464FE"/>
    <w:rsid w:val="00D97CB3"/>
    <w:rsid w:val="00DA7B43"/>
    <w:rsid w:val="00DA7F4C"/>
    <w:rsid w:val="00DB4D5A"/>
    <w:rsid w:val="00DD50B9"/>
    <w:rsid w:val="00DF1715"/>
    <w:rsid w:val="00DF43DA"/>
    <w:rsid w:val="00E0198F"/>
    <w:rsid w:val="00E0533C"/>
    <w:rsid w:val="00E57825"/>
    <w:rsid w:val="00E631FE"/>
    <w:rsid w:val="00E83A7C"/>
    <w:rsid w:val="00E92477"/>
    <w:rsid w:val="00E93D3B"/>
    <w:rsid w:val="00EA1231"/>
    <w:rsid w:val="00EA6CAC"/>
    <w:rsid w:val="00EB06C8"/>
    <w:rsid w:val="00EB2EEC"/>
    <w:rsid w:val="00EB3DBD"/>
    <w:rsid w:val="00EB6AAB"/>
    <w:rsid w:val="00EC3536"/>
    <w:rsid w:val="00EC5683"/>
    <w:rsid w:val="00ED03FA"/>
    <w:rsid w:val="00F146F5"/>
    <w:rsid w:val="00F31A7F"/>
    <w:rsid w:val="00F31FA4"/>
    <w:rsid w:val="00F356D4"/>
    <w:rsid w:val="00F56AC7"/>
    <w:rsid w:val="00F57CAD"/>
    <w:rsid w:val="00F607D9"/>
    <w:rsid w:val="00F612AE"/>
    <w:rsid w:val="00FA3F0F"/>
    <w:rsid w:val="00FA7B90"/>
    <w:rsid w:val="00FC1081"/>
    <w:rsid w:val="00FC1E8E"/>
    <w:rsid w:val="00FC5BEC"/>
    <w:rsid w:val="00FF0699"/>
    <w:rsid w:val="00FF5D20"/>
    <w:rsid w:val="00FF60EC"/>
    <w:rsid w:val="0315693C"/>
    <w:rsid w:val="04430C71"/>
    <w:rsid w:val="065D5EDD"/>
    <w:rsid w:val="07250A96"/>
    <w:rsid w:val="07D44307"/>
    <w:rsid w:val="0924152B"/>
    <w:rsid w:val="0B1152F4"/>
    <w:rsid w:val="0C636302"/>
    <w:rsid w:val="0CD0480F"/>
    <w:rsid w:val="0D59290B"/>
    <w:rsid w:val="0E2F7752"/>
    <w:rsid w:val="125A6927"/>
    <w:rsid w:val="13412828"/>
    <w:rsid w:val="1778523C"/>
    <w:rsid w:val="17A74C5B"/>
    <w:rsid w:val="189C1891"/>
    <w:rsid w:val="1A494651"/>
    <w:rsid w:val="1B34714F"/>
    <w:rsid w:val="1C9C618E"/>
    <w:rsid w:val="1EDD11B4"/>
    <w:rsid w:val="23536EC9"/>
    <w:rsid w:val="244E1C3A"/>
    <w:rsid w:val="27D27589"/>
    <w:rsid w:val="29CF7AF1"/>
    <w:rsid w:val="2AA83287"/>
    <w:rsid w:val="2C0F4C4B"/>
    <w:rsid w:val="2C373DAD"/>
    <w:rsid w:val="2FA74BF7"/>
    <w:rsid w:val="34557741"/>
    <w:rsid w:val="34906EE1"/>
    <w:rsid w:val="356B28DD"/>
    <w:rsid w:val="35B3199D"/>
    <w:rsid w:val="38005D93"/>
    <w:rsid w:val="3BA67643"/>
    <w:rsid w:val="3BAF477C"/>
    <w:rsid w:val="3BB3514C"/>
    <w:rsid w:val="3BB85381"/>
    <w:rsid w:val="3BC70C62"/>
    <w:rsid w:val="3C8E5881"/>
    <w:rsid w:val="3FAB5D8A"/>
    <w:rsid w:val="400254A4"/>
    <w:rsid w:val="40FB5855"/>
    <w:rsid w:val="45B63C47"/>
    <w:rsid w:val="46201A61"/>
    <w:rsid w:val="480041BE"/>
    <w:rsid w:val="481D46E1"/>
    <w:rsid w:val="484F02DB"/>
    <w:rsid w:val="4ABA7523"/>
    <w:rsid w:val="4D0F702B"/>
    <w:rsid w:val="4F1374CD"/>
    <w:rsid w:val="4F5F7FA0"/>
    <w:rsid w:val="4FB82AE1"/>
    <w:rsid w:val="50176585"/>
    <w:rsid w:val="511264C9"/>
    <w:rsid w:val="52035306"/>
    <w:rsid w:val="52F41619"/>
    <w:rsid w:val="544435BE"/>
    <w:rsid w:val="556B56F9"/>
    <w:rsid w:val="55F91EE6"/>
    <w:rsid w:val="560C755C"/>
    <w:rsid w:val="5D416569"/>
    <w:rsid w:val="61EC2AA6"/>
    <w:rsid w:val="699E46AC"/>
    <w:rsid w:val="6A887E99"/>
    <w:rsid w:val="6AF871DC"/>
    <w:rsid w:val="6B2C321A"/>
    <w:rsid w:val="6B737AB1"/>
    <w:rsid w:val="6BFA2E6B"/>
    <w:rsid w:val="6CAC23B4"/>
    <w:rsid w:val="6E743137"/>
    <w:rsid w:val="6F2F3A78"/>
    <w:rsid w:val="6FB273A5"/>
    <w:rsid w:val="70D04944"/>
    <w:rsid w:val="749826BF"/>
    <w:rsid w:val="77880E7F"/>
    <w:rsid w:val="77D26D2E"/>
    <w:rsid w:val="7814385B"/>
    <w:rsid w:val="7A804D74"/>
    <w:rsid w:val="7B787053"/>
    <w:rsid w:val="7B897B3A"/>
    <w:rsid w:val="7CC91675"/>
    <w:rsid w:val="7D055DF3"/>
    <w:rsid w:val="7D57062A"/>
    <w:rsid w:val="7E02475A"/>
    <w:rsid w:val="7F657C42"/>
    <w:rsid w:val="7F794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styleId="7">
    <w:name w:val="page number"/>
    <w:basedOn w:val="6"/>
    <w:qFormat/>
    <w:uiPriority w:val="0"/>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02BF7-384A-4795-B1F6-802B996E6FA7}">
  <ds:schemaRefs/>
</ds:datastoreItem>
</file>

<file path=docProps/app.xml><?xml version="1.0" encoding="utf-8"?>
<Properties xmlns="http://schemas.openxmlformats.org/officeDocument/2006/extended-properties" xmlns:vt="http://schemas.openxmlformats.org/officeDocument/2006/docPropsVTypes">
  <Template>Normal</Template>
  <Pages>13</Pages>
  <Words>754</Words>
  <Characters>4299</Characters>
  <Lines>35</Lines>
  <Paragraphs>10</Paragraphs>
  <TotalTime>1986</TotalTime>
  <ScaleCrop>false</ScaleCrop>
  <LinksUpToDate>false</LinksUpToDate>
  <CharactersWithSpaces>5043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2023-03-07T03:55:12Z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6B97A3F5E4434C45996FA30F7C29B0A4</vt:lpwstr>
  </property>
</Properties>
</file>