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政府办</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政府办</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政府办</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政府办</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w:t>
      </w:r>
      <w:r>
        <w:rPr>
          <w:rFonts w:hint="eastAsia" w:ascii="仿宋_GB2312" w:hAnsi="仿宋_GB2312" w:eastAsia="仿宋_GB2312" w:cs="仿宋_GB2312"/>
          <w:sz w:val="32"/>
          <w:szCs w:val="32"/>
          <w:lang w:eastAsia="zh-CN"/>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hAnsi="仿宋_GB2312" w:eastAsia="仿宋_GB2312" w:cs="仿宋_GB2312"/>
          <w:sz w:val="32"/>
          <w:szCs w:val="32"/>
          <w:lang w:eastAsia="zh-CN"/>
        </w:rPr>
        <w:t>九、国有资本经营预算财政拨款支出决算情况说明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十</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政府办</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（一）负责县政府会议和县政府领导重要活动的组织安排，协助县政府领导组织实施会议决定事项。</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（二）负责组织拟订或审核以县政府、县政府办公室名义发布的公文和县政府领导的讲话。</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（三）研究县政府各部门和各乡镇请示县政府的事项，提出审核建议，报县政府领导审批。</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（四）根据县政府领导的指示，对县政府各部门之间出现的争议问题，提出处理建议，报县政府领导决策。</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（五）综合协调金融工作，跟踪了解和调查研究全县金融运行情况并提出政策建议。</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（六）督促检查县政府各部门和各乡镇对县政府公文、会议决定事项及县政府领导指示的贯彻落实情况，及时向县政府领导报告。</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（七）协助县政府领导做好需由县政府组织处理的突发事件的应急处置工作。</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（八）负责县政府值班工作，及时报告重要情况，传达和督促落实县政府领导指示，协助处理各乡镇、各部门向县政府反映的重要问题。</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（九）负责对县人大代表、政协委员提交的建议、意见、议案、提案的督办工作。</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（十）负责政务信息和电子政务的规划、组织、协调、执行、业务指导及县政府系统办公自动化建设工作，为县政府领导科学决策提供信息服务。</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（十一）负责县政府与上级有关部门和县政府与县委、人大、政协、驻军和武装部队的工作联系。</w:t>
      </w:r>
    </w:p>
    <w:p>
      <w:pPr>
        <w:keepNext w:val="0"/>
        <w:keepLines w:val="0"/>
        <w:pageBreakBefore w:val="0"/>
        <w:kinsoku/>
        <w:wordWrap/>
        <w:overflowPunct/>
        <w:topLinePunct w:val="0"/>
        <w:autoSpaceDE/>
        <w:bidi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（十二）负责县委、人大、政府、政协四大班子的接待工作。</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（十三）调查研究依法行政和政府法制建设中出现的新情况、新问题，提出推进依法行政的具体措施和工作建议。</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（十四）负责以县政府、县政府办公室的名义拟订的规范性文件审查、修改、备案、清理、上报工作；承担各乡镇、县政府各部门报送的规范性文件审查、备案工作。</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（十五）承办由县政府受理的行政复议案件，指导、监督全县行政复议工作；承担县政府行政应诉、行政赔偿等法律服务工作，提供法律咨询服务。</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（十六）指导、监督全县行政执法工作，并对行政执法中带有普遍性的问题提出意见和建议。</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（十七）负责重大行政处罚决定的备案审查工作。</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（十八）负责对县政府各部门和各乡镇实施法律、行政法规、地方性法规和政府规章进行监督，依法纠正违法或者不当的行政行为。</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（十九）负责培训、考核各乡镇、政府各部门的行政执法人员，负责审报行政执法和行政执法监督证件工作。</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（二十）负责行政执法主体清理工作，承担行政执法评议考核和行政执法责任制的实施工作。</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（二十一）开展政府法治理论、政府法制工作研究和宣传交流。</w:t>
      </w:r>
    </w:p>
    <w:p>
      <w:pPr>
        <w:pStyle w:val="11"/>
        <w:keepNext w:val="0"/>
        <w:keepLines w:val="0"/>
        <w:pageBreakBefore w:val="0"/>
        <w:kinsoku/>
        <w:wordWrap/>
        <w:overflowPunct/>
        <w:topLinePunct w:val="0"/>
        <w:autoSpaceDE/>
        <w:autoSpaceDN w:val="0"/>
        <w:bidi w:val="0"/>
        <w:spacing w:after="0" w:line="560" w:lineRule="exact"/>
        <w:ind w:left="0" w:firstLine="640" w:firstLineChars="200"/>
        <w:rPr>
          <w:rFonts w:ascii="仿宋_GB2312" w:eastAsia="仿宋_GB2312"/>
          <w:sz w:val="32"/>
          <w:szCs w:val="32"/>
        </w:rPr>
      </w:pPr>
      <w:r>
        <w:rPr>
          <w:rFonts w:hint="eastAsia" w:ascii="仿宋_GB2312" w:eastAsia="仿宋_GB2312"/>
          <w:sz w:val="32"/>
          <w:szCs w:val="32"/>
        </w:rPr>
        <w:t>（二十二）负责审核县政府审批的各种具体行政行为的文件、材料。</w:t>
      </w:r>
    </w:p>
    <w:p>
      <w:pPr>
        <w:keepNext w:val="0"/>
        <w:keepLines w:val="0"/>
        <w:pageBreakBefore w:val="0"/>
        <w:kinsoku/>
        <w:wordWrap/>
        <w:overflowPunct/>
        <w:topLinePunct w:val="0"/>
        <w:autoSpaceDE/>
        <w:bidi w:val="0"/>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二十三）贯彻执行国家、自治区和地区关于信访工作的方针、政策和法律法规；宣传和贯彻落实国务院《信访条例》（国务院令第431号）；拟订有关信访工作的地方性法规草案；增强信访工作的预见性和针对性。</w:t>
      </w:r>
    </w:p>
    <w:p>
      <w:pPr>
        <w:keepNext w:val="0"/>
        <w:keepLines w:val="0"/>
        <w:pageBreakBefore w:val="0"/>
        <w:kinsoku/>
        <w:wordWrap/>
        <w:overflowPunct/>
        <w:topLinePunct w:val="0"/>
        <w:autoSpaceDE/>
        <w:bidi w:val="0"/>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（二十四）负责处理群众来信，接待群众来访；向县委、人大、政府、政协反映来信来访中提出的重要建议、意见和问题。</w:t>
      </w:r>
    </w:p>
    <w:p>
      <w:pPr>
        <w:keepNext w:val="0"/>
        <w:keepLines w:val="0"/>
        <w:pageBreakBefore w:val="0"/>
        <w:kinsoku/>
        <w:wordWrap/>
        <w:overflowPunct/>
        <w:topLinePunct w:val="0"/>
        <w:autoSpaceDE/>
        <w:bidi w:val="0"/>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（二十五）负责向各乡镇、各部门转办、交办信访事项；督促、检查、反馈信访事项的处理、落实情况。</w:t>
      </w:r>
    </w:p>
    <w:p>
      <w:pPr>
        <w:keepNext w:val="0"/>
        <w:keepLines w:val="0"/>
        <w:pageBreakBefore w:val="0"/>
        <w:kinsoku/>
        <w:wordWrap/>
        <w:overflowPunct/>
        <w:topLinePunct w:val="0"/>
        <w:autoSpaceDE/>
        <w:bidi w:val="0"/>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（二十六）负责协调信访工作宣传和信访信息的汇集、分析、报送、发布。</w:t>
      </w:r>
    </w:p>
    <w:p>
      <w:pPr>
        <w:keepNext w:val="0"/>
        <w:keepLines w:val="0"/>
        <w:pageBreakBefore w:val="0"/>
        <w:kinsoku/>
        <w:wordWrap/>
        <w:overflowPunct/>
        <w:topLinePunct w:val="0"/>
        <w:autoSpaceDE/>
        <w:bidi w:val="0"/>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 xml:space="preserve">（二十七）综合协调处理全县信访工作；总结推广全县信访工作经验，提出改进和加强信访工作的意见和建议。 </w:t>
      </w:r>
    </w:p>
    <w:p>
      <w:pPr>
        <w:keepNext w:val="0"/>
        <w:keepLines w:val="0"/>
        <w:pageBreakBefore w:val="0"/>
        <w:kinsoku/>
        <w:wordWrap/>
        <w:overflowPunct/>
        <w:topLinePunct w:val="0"/>
        <w:autoSpaceDE/>
        <w:bidi w:val="0"/>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（二十八）承担处理全县信访突出问题责任。</w:t>
      </w:r>
    </w:p>
    <w:p>
      <w:pPr>
        <w:keepNext w:val="0"/>
        <w:keepLines w:val="0"/>
        <w:pageBreakBefore w:val="0"/>
        <w:kinsoku/>
        <w:wordWrap/>
        <w:overflowPunct/>
        <w:topLinePunct w:val="0"/>
        <w:autoSpaceDE/>
        <w:bidi w:val="0"/>
        <w:spacing w:line="560" w:lineRule="exact"/>
        <w:ind w:firstLine="640" w:firstLineChars="200"/>
        <w:rPr>
          <w:rFonts w:ascii="仿宋_GB2312" w:hAnsi="华文中宋" w:eastAsia="仿宋_GB2312"/>
          <w:sz w:val="32"/>
          <w:szCs w:val="32"/>
        </w:rPr>
      </w:pPr>
      <w:r>
        <w:rPr>
          <w:rFonts w:hint="eastAsia" w:ascii="仿宋_GB2312" w:hAnsi="宋体" w:eastAsia="仿宋_GB2312"/>
          <w:sz w:val="32"/>
          <w:szCs w:val="32"/>
        </w:rPr>
        <w:t>（二十九）负责管理县后勤服务中心。</w:t>
      </w:r>
    </w:p>
    <w:p>
      <w:pPr>
        <w:keepNext w:val="0"/>
        <w:keepLines w:val="0"/>
        <w:pageBreakBefore w:val="0"/>
        <w:kinsoku/>
        <w:wordWrap/>
        <w:overflowPunct/>
        <w:topLinePunct w:val="0"/>
        <w:autoSpaceDE/>
        <w:bidi w:val="0"/>
        <w:spacing w:line="56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（三十）承办县政府交办的其他事项。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keepNext w:val="0"/>
        <w:keepLines w:val="0"/>
        <w:pageBreakBefore w:val="0"/>
        <w:kinsoku/>
        <w:wordWrap/>
        <w:overflowPunct/>
        <w:topLinePunct w:val="0"/>
        <w:autoSpaceDE/>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察隅县人民政府办公室（法制办公室）。</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政府办</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政府办</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highlight w:val="none"/>
          <w:lang w:val="en-US" w:eastAsia="zh-CN"/>
        </w:rPr>
        <w:t>3,132.94万元，比上年降低41.79%，主要原因为2021年年初结转和结余资金较2020年减少。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1,612.21万元，主要包括财政拨款收入1,333.50万元，占总收入82.71%；其他收入278.71万元，占总收入17.29%。总收入比上年增加365.39万元，同比增长163.47%</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主要原因为2021年其他支出项目经费增加。</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3,132.94万元，主要包括基本支出359.33万元，占总支出11.47%；项目支出2,773.61万元，占总支出88.53%。总支出比上年减少691.87万元，同比降低18.09%</w:t>
      </w:r>
      <w:r>
        <w:rPr>
          <w:rFonts w:hint="eastAsia" w:ascii="仿宋_GB2312" w:eastAsia="仿宋_GB2312"/>
          <w:sz w:val="32"/>
          <w:szCs w:val="32"/>
        </w:rPr>
        <w:t>，</w:t>
      </w:r>
      <w:r>
        <w:rPr>
          <w:rFonts w:hint="eastAsia" w:ascii="仿宋_GB2312" w:eastAsia="仿宋_GB2312"/>
          <w:sz w:val="32"/>
          <w:szCs w:val="32"/>
          <w:highlight w:val="none"/>
          <w:lang w:val="en-US" w:eastAsia="zh-CN"/>
        </w:rPr>
        <w:t>主要原因为2021年项目支出经费较往年减少。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宋体" w:hAnsi="宋体" w:eastAsia="宋体" w:cs="Arial"/>
          <w:color w:val="000000"/>
          <w:kern w:val="0"/>
          <w:sz w:val="22"/>
          <w:highlight w:val="yellow"/>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2,705.20万元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2,481.02万元</w:t>
      </w:r>
      <w:r>
        <w:rPr>
          <w:rFonts w:hint="eastAsia" w:ascii="仿宋_GB2312" w:eastAsia="仿宋_GB2312"/>
          <w:sz w:val="32"/>
          <w:szCs w:val="32"/>
          <w:u w:val="none"/>
        </w:rPr>
        <w:t>，</w:t>
      </w:r>
      <w:r>
        <w:rPr>
          <w:rFonts w:hint="eastAsia" w:ascii="仿宋_GB2312" w:eastAsia="仿宋_GB2312"/>
          <w:sz w:val="32"/>
          <w:szCs w:val="32"/>
          <w:u w:val="none"/>
          <w:lang w:eastAsia="zh-CN"/>
        </w:rPr>
        <w:t>同比降低</w:t>
      </w:r>
      <w:r>
        <w:rPr>
          <w:rFonts w:hint="eastAsia" w:ascii="仿宋_GB2312" w:eastAsia="仿宋_GB2312"/>
          <w:sz w:val="32"/>
          <w:szCs w:val="32"/>
          <w:u w:val="none"/>
          <w:lang w:val="en-US" w:eastAsia="zh-CN"/>
        </w:rPr>
        <w:t>47.84</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主要原因为2021年年初结转和结余资金较2020年减少。</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u w:val="none"/>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支出</w:t>
      </w:r>
      <w:r>
        <w:rPr>
          <w:rFonts w:hint="eastAsia" w:ascii="仿宋_GB2312" w:eastAsia="仿宋_GB2312"/>
          <w:sz w:val="32"/>
          <w:szCs w:val="32"/>
          <w:highlight w:val="none"/>
          <w:u w:val="none"/>
          <w:lang w:eastAsia="zh-CN"/>
        </w:rPr>
        <w:t>决算为</w:t>
      </w:r>
      <w:r>
        <w:rPr>
          <w:rFonts w:hint="eastAsia" w:ascii="仿宋_GB2312" w:eastAsia="仿宋_GB2312"/>
          <w:sz w:val="32"/>
          <w:szCs w:val="32"/>
          <w:u w:val="none"/>
          <w:lang w:val="en-US" w:eastAsia="zh-CN"/>
        </w:rPr>
        <w:t>2,705.20万元</w:t>
      </w:r>
      <w:r>
        <w:rPr>
          <w:rFonts w:hint="eastAsia" w:ascii="仿宋_GB2312" w:eastAsia="仿宋_GB2312"/>
          <w:sz w:val="32"/>
          <w:szCs w:val="32"/>
          <w:u w:val="none"/>
        </w:rPr>
        <w:t>，比上年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1,083.98万元</w:t>
      </w:r>
      <w:r>
        <w:rPr>
          <w:rFonts w:hint="eastAsia" w:ascii="仿宋_GB2312" w:eastAsia="仿宋_GB2312"/>
          <w:sz w:val="32"/>
          <w:szCs w:val="32"/>
          <w:u w:val="none"/>
        </w:rPr>
        <w:t>，</w:t>
      </w:r>
      <w:r>
        <w:rPr>
          <w:rFonts w:hint="eastAsia" w:ascii="仿宋_GB2312" w:eastAsia="仿宋_GB2312"/>
          <w:sz w:val="32"/>
          <w:szCs w:val="32"/>
          <w:u w:val="none"/>
          <w:lang w:eastAsia="zh-CN"/>
        </w:rPr>
        <w:t>同比降低</w:t>
      </w:r>
      <w:r>
        <w:rPr>
          <w:rFonts w:hint="eastAsia" w:ascii="仿宋_GB2312" w:eastAsia="仿宋_GB2312"/>
          <w:sz w:val="32"/>
          <w:szCs w:val="32"/>
          <w:u w:val="none"/>
          <w:lang w:val="en-US" w:eastAsia="zh-CN"/>
        </w:rPr>
        <w:t>28.61</w:t>
      </w:r>
      <w:r>
        <w:rPr>
          <w:rFonts w:hint="eastAsia" w:ascii="仿宋_GB2312" w:eastAsia="仿宋_GB2312"/>
          <w:sz w:val="32"/>
          <w:szCs w:val="32"/>
          <w:highlight w:val="none"/>
          <w:u w:val="none"/>
          <w:lang w:val="en-US" w:eastAsia="zh-CN"/>
        </w:rPr>
        <w:t>%</w:t>
      </w:r>
      <w:r>
        <w:rPr>
          <w:rFonts w:hint="eastAsia" w:ascii="仿宋_GB2312" w:eastAsia="仿宋_GB2312"/>
          <w:sz w:val="32"/>
          <w:szCs w:val="32"/>
          <w:u w:val="none"/>
        </w:rPr>
        <w:t>，</w:t>
      </w:r>
      <w:r>
        <w:rPr>
          <w:rFonts w:hint="eastAsia" w:ascii="仿宋_GB2312" w:eastAsia="仿宋_GB2312"/>
          <w:sz w:val="32"/>
          <w:szCs w:val="32"/>
          <w:highlight w:val="none"/>
          <w:lang w:val="en-US" w:eastAsia="zh-CN"/>
        </w:rPr>
        <w:t>主要原因为2021年其他支出项目经费减少。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仿宋_GB2312" w:eastAsia="仿宋_GB2312"/>
          <w:sz w:val="32"/>
          <w:szCs w:val="32"/>
          <w:highlight w:val="none"/>
          <w:lang w:val="en-US" w:eastAsia="zh-CN"/>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highlight w:val="none"/>
          <w:lang w:val="en-US" w:eastAsia="zh-CN"/>
        </w:rPr>
        <w:t>2705.20万元，比上年</w:t>
      </w:r>
      <w:r>
        <w:rPr>
          <w:rFonts w:hint="eastAsia" w:ascii="仿宋_GB2312" w:eastAsia="仿宋_GB2312"/>
          <w:sz w:val="32"/>
          <w:szCs w:val="32"/>
          <w:u w:val="none"/>
          <w:lang w:eastAsia="zh-CN"/>
        </w:rPr>
        <w:t>减少</w:t>
      </w:r>
      <w:r>
        <w:rPr>
          <w:rFonts w:hint="eastAsia" w:ascii="仿宋_GB2312" w:eastAsia="仿宋_GB2312"/>
          <w:sz w:val="32"/>
          <w:szCs w:val="32"/>
          <w:u w:val="none"/>
          <w:lang w:val="en-US" w:eastAsia="zh-CN"/>
        </w:rPr>
        <w:t>1,083.98万元</w:t>
      </w:r>
      <w:r>
        <w:rPr>
          <w:rFonts w:hint="eastAsia" w:ascii="仿宋_GB2312" w:eastAsia="仿宋_GB2312"/>
          <w:sz w:val="32"/>
          <w:szCs w:val="32"/>
          <w:highlight w:val="none"/>
          <w:lang w:val="en-US" w:eastAsia="zh-CN"/>
        </w:rPr>
        <w:t>，同比</w:t>
      </w:r>
      <w:r>
        <w:rPr>
          <w:rFonts w:hint="eastAsia" w:ascii="仿宋_GB2312" w:eastAsia="仿宋_GB2312"/>
          <w:sz w:val="32"/>
          <w:szCs w:val="32"/>
          <w:u w:val="none"/>
          <w:lang w:eastAsia="zh-CN"/>
        </w:rPr>
        <w:t>降低</w:t>
      </w:r>
      <w:r>
        <w:rPr>
          <w:rFonts w:hint="eastAsia" w:ascii="仿宋_GB2312" w:eastAsia="仿宋_GB2312"/>
          <w:sz w:val="32"/>
          <w:szCs w:val="32"/>
          <w:u w:val="none"/>
          <w:lang w:val="en-US" w:eastAsia="zh-CN"/>
        </w:rPr>
        <w:t>28.61</w:t>
      </w:r>
      <w:r>
        <w:rPr>
          <w:rFonts w:hint="eastAsia" w:ascii="仿宋_GB2312" w:eastAsia="仿宋_GB2312"/>
          <w:sz w:val="32"/>
          <w:szCs w:val="32"/>
          <w:highlight w:val="none"/>
          <w:u w:val="none"/>
          <w:lang w:val="en-US" w:eastAsia="zh-CN"/>
        </w:rPr>
        <w:t>%</w:t>
      </w:r>
      <w:r>
        <w:rPr>
          <w:rFonts w:hint="eastAsia" w:ascii="仿宋_GB2312" w:eastAsia="仿宋_GB2312"/>
          <w:sz w:val="32"/>
          <w:szCs w:val="32"/>
          <w:highlight w:val="none"/>
          <w:lang w:val="en-US" w:eastAsia="zh-CN"/>
        </w:rPr>
        <w:t>，主要原因为2021年其他支出项目经费减少。比年初预算减少1,382.63万元,降低33.82%，主要原因为项目支出在2021年支出较少。</w:t>
      </w:r>
      <w:r>
        <w:rPr>
          <w:rFonts w:hint="eastAsia" w:ascii="仿宋_GB2312" w:eastAsia="仿宋_GB2312"/>
          <w:sz w:val="32"/>
          <w:szCs w:val="32"/>
          <w:highlight w:val="none"/>
          <w:lang w:val="en-US" w:eastAsia="zh-CN"/>
        </w:rPr>
        <w:t>其中：基本支出359.33万元，占总支出13.28%；项目支出2,345.87万元，占总支出86.72%。</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eastAsia="仿宋_GB2312"/>
          <w:sz w:val="32"/>
          <w:szCs w:val="32"/>
          <w:lang w:val="en-US" w:eastAsia="zh-CN"/>
        </w:rPr>
        <w:t>359.33万</w:t>
      </w:r>
      <w:r>
        <w:rPr>
          <w:rFonts w:hint="eastAsia" w:ascii="仿宋_GB2312" w:eastAsia="仿宋_GB2312"/>
          <w:sz w:val="32"/>
          <w:szCs w:val="32"/>
        </w:rPr>
        <w:t>元，</w:t>
      </w:r>
      <w:r>
        <w:rPr>
          <w:rFonts w:hint="eastAsia" w:ascii="仿宋_GB2312" w:eastAsia="仿宋_GB2312"/>
          <w:sz w:val="32"/>
          <w:szCs w:val="32"/>
          <w:lang w:eastAsia="zh-CN"/>
        </w:rPr>
        <w:t>比上年减少</w:t>
      </w:r>
      <w:r>
        <w:rPr>
          <w:rFonts w:hint="eastAsia" w:ascii="仿宋_GB2312" w:eastAsia="仿宋_GB2312"/>
          <w:sz w:val="32"/>
          <w:szCs w:val="32"/>
          <w:lang w:val="en-US" w:eastAsia="zh-CN"/>
        </w:rPr>
        <w:t>57.27万元，同比降低13.75%</w:t>
      </w:r>
      <w:r>
        <w:rPr>
          <w:rFonts w:hint="eastAsia" w:ascii="仿宋_GB2312" w:eastAsia="仿宋_GB2312"/>
          <w:sz w:val="32"/>
          <w:szCs w:val="32"/>
        </w:rPr>
        <w:t>。</w:t>
      </w:r>
      <w:r>
        <w:rPr>
          <w:rFonts w:hint="eastAsia" w:ascii="仿宋_GB2312" w:eastAsia="仿宋_GB2312"/>
          <w:sz w:val="32"/>
          <w:szCs w:val="32"/>
          <w:lang w:eastAsia="zh-CN"/>
        </w:rPr>
        <w:t>主要原因为人员调整，在编人数较上年</w:t>
      </w:r>
      <w:r>
        <w:rPr>
          <w:rFonts w:hint="eastAsia" w:ascii="仿宋_GB2312" w:eastAsia="仿宋_GB2312"/>
          <w:sz w:val="32"/>
          <w:szCs w:val="32"/>
          <w:lang w:val="en-US" w:eastAsia="zh-CN"/>
        </w:rPr>
        <w:t>减少6人，人员经费预算减少</w:t>
      </w:r>
      <w:r>
        <w:rPr>
          <w:rFonts w:hint="eastAsia" w:ascii="仿宋_GB2312" w:eastAsia="仿宋_GB2312"/>
          <w:sz w:val="32"/>
          <w:szCs w:val="32"/>
          <w:highlight w:val="none"/>
          <w:lang w:val="en-US" w:eastAsia="zh-CN"/>
        </w:rPr>
        <w:t>。比年初预算减少114.48万元,降低24.16%，主要原因为人员变动。</w:t>
      </w:r>
      <w:r>
        <w:rPr>
          <w:rFonts w:hint="eastAsia" w:ascii="仿宋_GB2312" w:eastAsia="仿宋_GB2312"/>
          <w:sz w:val="32"/>
          <w:szCs w:val="32"/>
          <w:highlight w:val="none"/>
        </w:rPr>
        <w:t>其</w:t>
      </w:r>
      <w:r>
        <w:rPr>
          <w:rFonts w:hint="eastAsia" w:ascii="仿宋_GB2312" w:eastAsia="仿宋_GB2312"/>
          <w:sz w:val="32"/>
          <w:szCs w:val="32"/>
        </w:rPr>
        <w:t>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336.03万元</w:t>
      </w:r>
      <w:r>
        <w:rPr>
          <w:rFonts w:hint="eastAsia" w:ascii="仿宋_GB2312" w:eastAsia="仿宋_GB2312"/>
          <w:sz w:val="32"/>
          <w:szCs w:val="32"/>
        </w:rPr>
        <w:t>，占总支出的</w:t>
      </w:r>
      <w:r>
        <w:rPr>
          <w:rFonts w:hint="eastAsia" w:ascii="仿宋_GB2312" w:eastAsia="仿宋_GB2312"/>
          <w:sz w:val="32"/>
          <w:szCs w:val="32"/>
          <w:lang w:val="en-US" w:eastAsia="zh-CN"/>
        </w:rPr>
        <w:t>93.51</w:t>
      </w:r>
      <w:r>
        <w:rPr>
          <w:rFonts w:hint="eastAsia" w:ascii="仿宋_GB2312" w:eastAsia="仿宋_GB2312"/>
          <w:sz w:val="32"/>
          <w:szCs w:val="32"/>
        </w:rPr>
        <w:t>%，主要包括</w:t>
      </w:r>
      <w:r>
        <w:rPr>
          <w:rFonts w:hint="eastAsia" w:ascii="仿宋_GB2312" w:eastAsia="仿宋_GB2312"/>
          <w:sz w:val="32"/>
          <w:szCs w:val="32"/>
          <w:lang w:eastAsia="zh-CN"/>
        </w:rPr>
        <w:t>工资福利支出支出和对个人和家庭的补助支出</w:t>
      </w:r>
      <w:r>
        <w:rPr>
          <w:rFonts w:hint="eastAsia" w:ascii="仿宋_GB2312" w:eastAsia="仿宋_GB2312"/>
          <w:sz w:val="32"/>
          <w:szCs w:val="32"/>
        </w:rPr>
        <w:t>。</w:t>
      </w:r>
      <w:r>
        <w:rPr>
          <w:rFonts w:hint="eastAsia" w:ascii="仿宋_GB2312" w:eastAsia="仿宋_GB2312"/>
          <w:b/>
          <w:sz w:val="32"/>
          <w:szCs w:val="32"/>
        </w:rPr>
        <w:t>公用经</w:t>
      </w:r>
      <w:r>
        <w:rPr>
          <w:rFonts w:hint="eastAsia" w:ascii="仿宋_GB2312" w:eastAsia="仿宋_GB2312"/>
          <w:b/>
          <w:bCs w:val="0"/>
          <w:sz w:val="32"/>
          <w:szCs w:val="32"/>
        </w:rPr>
        <w:t>费支出</w:t>
      </w:r>
      <w:r>
        <w:rPr>
          <w:rFonts w:hint="eastAsia" w:ascii="仿宋_GB2312" w:eastAsia="仿宋_GB2312"/>
          <w:sz w:val="32"/>
          <w:szCs w:val="32"/>
          <w:lang w:eastAsia="zh-CN"/>
        </w:rPr>
        <w:t>合计</w:t>
      </w:r>
      <w:r>
        <w:rPr>
          <w:rFonts w:hint="eastAsia" w:ascii="仿宋_GB2312" w:eastAsia="仿宋_GB2312"/>
          <w:sz w:val="32"/>
          <w:szCs w:val="32"/>
          <w:lang w:val="en-US" w:eastAsia="zh-CN"/>
        </w:rPr>
        <w:t>23.31万</w:t>
      </w:r>
      <w:r>
        <w:rPr>
          <w:rFonts w:hint="eastAsia" w:ascii="仿宋_GB2312" w:eastAsia="仿宋_GB2312"/>
          <w:sz w:val="32"/>
          <w:szCs w:val="32"/>
        </w:rPr>
        <w:t>元，占总支出</w:t>
      </w:r>
      <w:r>
        <w:rPr>
          <w:rFonts w:hint="eastAsia" w:ascii="仿宋_GB2312" w:eastAsia="仿宋_GB2312"/>
          <w:sz w:val="32"/>
          <w:szCs w:val="32"/>
          <w:lang w:val="en-US" w:eastAsia="zh-CN"/>
        </w:rPr>
        <w:t>6.49</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w:t>
      </w:r>
      <w:r>
        <w:rPr>
          <w:rFonts w:hint="eastAsia" w:ascii="仿宋_GB2312" w:hAnsi="仿宋_GB2312" w:eastAsia="仿宋_GB2312" w:cs="仿宋_GB2312"/>
          <w:snapToGrid w:val="0"/>
          <w:w w:val="95"/>
          <w:sz w:val="32"/>
          <w:szCs w:val="32"/>
          <w:lang w:val="en-US" w:eastAsia="zh-CN"/>
        </w:rPr>
        <w:t>万元，比上年增加0万元，同比增长0%</w:t>
      </w:r>
      <w:r>
        <w:rPr>
          <w:rFonts w:hint="eastAsia" w:ascii="仿宋_GB2312" w:hAnsi="仿宋_GB2312" w:eastAsia="仿宋_GB2312" w:cs="仿宋_GB2312"/>
          <w:sz w:val="32"/>
          <w:szCs w:val="32"/>
          <w:highlight w:val="none"/>
          <w:lang w:val="en-US" w:eastAsia="zh-CN"/>
        </w:rPr>
        <w:t>。比预算数减少7.38万元，降低100%。其中：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。2021年度支出0万元，比预算数减少4.32万元，降低100%。其中：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1.公务用车购置费。公务用车购置数为0辆，保有量为0辆。公务用车购置严格按照我县车辆管理及厉行节约有关要求实行总额控制。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2.公务用车运行费。2021年度支出0万元，比</w:t>
      </w:r>
      <w:r>
        <w:rPr>
          <w:rFonts w:hint="eastAsia" w:ascii="仿宋_GB2312" w:hAnsi="仿宋_GB2312" w:eastAsia="仿宋_GB2312" w:cs="仿宋_GB2312"/>
          <w:sz w:val="32"/>
          <w:szCs w:val="32"/>
          <w:highlight w:val="none"/>
          <w:lang w:val="en-US" w:eastAsia="zh-CN"/>
        </w:rPr>
        <w:t>上年增长0万元，同比增长0%</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2021年度支出0万元，公务接待0批次，0人次，比年初预算减少3.06万元，降低100%。</w:t>
      </w:r>
      <w:r>
        <w:rPr>
          <w:rFonts w:hint="eastAsia" w:ascii="仿宋_GB2312" w:hAnsi="仿宋_GB2312" w:eastAsia="仿宋_GB2312" w:cs="仿宋_GB2312"/>
          <w:snapToGrid w:val="0"/>
          <w:w w:val="95"/>
          <w:sz w:val="32"/>
          <w:szCs w:val="32"/>
          <w:highlight w:val="none"/>
          <w:lang w:eastAsia="zh-CN"/>
        </w:rPr>
        <w:t>我单位严格按照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r>
        <w:rPr>
          <w:rFonts w:hint="eastAsia" w:ascii="仿宋_GB2312" w:hAnsi="仿宋_GB2312" w:eastAsia="仿宋_GB2312" w:cs="仿宋_GB2312"/>
          <w:b w:val="0"/>
          <w:bCs w:val="0"/>
          <w:sz w:val="32"/>
          <w:szCs w:val="32"/>
          <w:lang w:val="en-US" w:eastAsia="zh-CN"/>
        </w:rPr>
        <w:t>。</w:t>
      </w:r>
    </w:p>
    <w:p>
      <w:pPr>
        <w:keepNext w:val="0"/>
        <w:keepLines w:val="0"/>
        <w:pageBreakBefore w:val="0"/>
        <w:numPr>
          <w:ilvl w:val="0"/>
          <w:numId w:val="0"/>
        </w:numPr>
        <w:kinsoku/>
        <w:wordWrap/>
        <w:overflowPunct/>
        <w:topLinePunct w:val="0"/>
        <w:autoSpaceDE/>
        <w:autoSpaceDN/>
        <w:bidi w:val="0"/>
        <w:spacing w:line="560" w:lineRule="exact"/>
        <w:ind w:firstLine="643"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九、国有资本经营预算财政拨款支出决算情况说明</w:t>
      </w:r>
      <w:r>
        <w:rPr>
          <w:rFonts w:hint="eastAsia" w:ascii="仿宋_GB2312" w:hAnsi="仿宋_GB2312" w:eastAsia="仿宋_GB2312" w:cs="仿宋_GB2312"/>
          <w:b/>
          <w:bCs/>
          <w:sz w:val="32"/>
          <w:szCs w:val="32"/>
          <w:lang w:eastAsia="zh-CN"/>
        </w:rPr>
        <w:br w:type="textWrapping"/>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23.31万元，比上年减少11.67万元，同比降低33.36</w:t>
      </w:r>
      <w:r>
        <w:rPr>
          <w:rFonts w:hint="eastAsia" w:ascii="仿宋_GB2312" w:eastAsia="仿宋_GB2312"/>
          <w:sz w:val="32"/>
          <w:szCs w:val="32"/>
        </w:rPr>
        <w:t>%。</w:t>
      </w:r>
      <w:r>
        <w:rPr>
          <w:rFonts w:hint="eastAsia" w:ascii="仿宋_GB2312" w:eastAsia="仿宋_GB2312"/>
          <w:sz w:val="32"/>
          <w:szCs w:val="32"/>
          <w:lang w:eastAsia="zh-CN"/>
        </w:rPr>
        <w:t>主要原因为</w:t>
      </w:r>
      <w:r>
        <w:rPr>
          <w:rFonts w:hint="eastAsia" w:ascii="仿宋_GB2312" w:eastAsia="仿宋_GB2312"/>
          <w:sz w:val="32"/>
          <w:szCs w:val="32"/>
          <w:lang w:val="en-US" w:eastAsia="zh-CN"/>
        </w:rPr>
        <w:t>2020年干部休假补助在公用经费中支出，2021年单独预算支出</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1</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0辆、应急保障用车0辆、执法执勤用车0辆、其他用车0辆、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eastAsia="zh-CN"/>
        </w:rPr>
        <w:t>根据预算绩效管理要求，察隅县政府办</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w:t>
      </w:r>
      <w:r>
        <w:rPr>
          <w:rFonts w:hint="eastAsia" w:ascii="仿宋_GB2312" w:hAnsi="仿宋_GB2312" w:eastAsia="仿宋_GB2312" w:cs="仿宋_GB2312"/>
          <w:sz w:val="32"/>
          <w:szCs w:val="32"/>
          <w:highlight w:val="none"/>
          <w:lang w:val="en-US" w:eastAsia="zh-CN"/>
        </w:rPr>
        <w:t>（详见附件2）</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highlight w:val="none"/>
          <w:lang w:eastAsia="zh-CN"/>
        </w:rPr>
        <w:t>（五）</w:t>
      </w:r>
      <w:r>
        <w:rPr>
          <w:rFonts w:hint="eastAsia" w:ascii="楷体_GB2312" w:hAnsi="楷体_GB2312" w:eastAsia="楷体_GB2312" w:cs="楷体_GB2312"/>
          <w:b w:val="0"/>
          <w:bCs/>
          <w:sz w:val="32"/>
          <w:szCs w:val="32"/>
          <w:highlight w:val="none"/>
        </w:rPr>
        <w:t>重点、重</w:t>
      </w:r>
      <w:r>
        <w:rPr>
          <w:rFonts w:hint="eastAsia" w:ascii="楷体_GB2312" w:hAnsi="楷体_GB2312" w:eastAsia="楷体_GB2312" w:cs="楷体_GB2312"/>
          <w:b w:val="0"/>
          <w:bCs/>
          <w:sz w:val="32"/>
          <w:szCs w:val="32"/>
        </w:rPr>
        <w:t>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政府办</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w:t>
      </w:r>
      <w:bookmarkStart w:id="0" w:name="_GoBack"/>
      <w:bookmarkEnd w:id="0"/>
      <w:r>
        <w:rPr>
          <w:rFonts w:hint="eastAsia" w:ascii="仿宋_GB2312" w:eastAsia="仿宋_GB2312"/>
          <w:sz w:val="32"/>
          <w:szCs w:val="32"/>
          <w:highlight w:val="none"/>
          <w:lang w:eastAsia="zh-CN"/>
        </w:rPr>
        <w:t>息。</w:t>
      </w:r>
    </w:p>
    <w:p>
      <w:pPr>
        <w:ind w:firstLine="640" w:firstLineChars="200"/>
        <w:jc w:val="left"/>
        <w:rPr>
          <w:rFonts w:hint="eastAsia" w:ascii="仿宋_GB2312" w:eastAsia="仿宋_GB2312"/>
          <w:sz w:val="32"/>
          <w:szCs w:val="32"/>
          <w:highlight w:val="none"/>
          <w:lang w:eastAsia="zh-CN"/>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jc w:val="both"/>
        <w:textAlignment w:val="auto"/>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modern"/>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decorative"/>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347EE069"/>
    <w:multiLevelType w:val="singleLevel"/>
    <w:tmpl w:val="347EE069"/>
    <w:lvl w:ilvl="0" w:tentative="0">
      <w:start w:val="1"/>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2F111AB"/>
    <w:rsid w:val="037E5F1D"/>
    <w:rsid w:val="03DA0031"/>
    <w:rsid w:val="03EC44F3"/>
    <w:rsid w:val="03FD70A9"/>
    <w:rsid w:val="043B2C3A"/>
    <w:rsid w:val="045F5EF1"/>
    <w:rsid w:val="04815BD5"/>
    <w:rsid w:val="05097677"/>
    <w:rsid w:val="060825F0"/>
    <w:rsid w:val="063E3381"/>
    <w:rsid w:val="0643722A"/>
    <w:rsid w:val="065E21CA"/>
    <w:rsid w:val="06E8512E"/>
    <w:rsid w:val="06E97EA9"/>
    <w:rsid w:val="071E1426"/>
    <w:rsid w:val="07594DF7"/>
    <w:rsid w:val="077477A9"/>
    <w:rsid w:val="077949DE"/>
    <w:rsid w:val="0795671D"/>
    <w:rsid w:val="07B34C51"/>
    <w:rsid w:val="080201B4"/>
    <w:rsid w:val="08207909"/>
    <w:rsid w:val="087110EA"/>
    <w:rsid w:val="088439AF"/>
    <w:rsid w:val="08AC1CE7"/>
    <w:rsid w:val="08D031DD"/>
    <w:rsid w:val="08E30F54"/>
    <w:rsid w:val="0915429C"/>
    <w:rsid w:val="09213420"/>
    <w:rsid w:val="09383344"/>
    <w:rsid w:val="098E615B"/>
    <w:rsid w:val="09CD1DDE"/>
    <w:rsid w:val="09D23368"/>
    <w:rsid w:val="09F407D8"/>
    <w:rsid w:val="0A05678C"/>
    <w:rsid w:val="0A1E26CD"/>
    <w:rsid w:val="0A2F3C47"/>
    <w:rsid w:val="0A4E1AEA"/>
    <w:rsid w:val="0A617FB0"/>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A6A4B"/>
    <w:rsid w:val="0C5B5F56"/>
    <w:rsid w:val="0CBB7325"/>
    <w:rsid w:val="0CF40838"/>
    <w:rsid w:val="0D7C2323"/>
    <w:rsid w:val="0D8F357F"/>
    <w:rsid w:val="0DDC3C40"/>
    <w:rsid w:val="0DE407D7"/>
    <w:rsid w:val="0E0D73AC"/>
    <w:rsid w:val="0E202DD1"/>
    <w:rsid w:val="0E341CF7"/>
    <w:rsid w:val="0E511891"/>
    <w:rsid w:val="0E5A45C9"/>
    <w:rsid w:val="0E5B6197"/>
    <w:rsid w:val="0E8D4346"/>
    <w:rsid w:val="0E9B4A5F"/>
    <w:rsid w:val="0EA0761E"/>
    <w:rsid w:val="0EA63A7E"/>
    <w:rsid w:val="0F260AEC"/>
    <w:rsid w:val="0F313772"/>
    <w:rsid w:val="0F443A6F"/>
    <w:rsid w:val="0F775EC7"/>
    <w:rsid w:val="0FC65547"/>
    <w:rsid w:val="0FCC34FC"/>
    <w:rsid w:val="0FED4320"/>
    <w:rsid w:val="102E66FD"/>
    <w:rsid w:val="10435CBE"/>
    <w:rsid w:val="106B4098"/>
    <w:rsid w:val="10E16DBA"/>
    <w:rsid w:val="10FE7208"/>
    <w:rsid w:val="111D5572"/>
    <w:rsid w:val="115616DD"/>
    <w:rsid w:val="11897E1C"/>
    <w:rsid w:val="11D71DB8"/>
    <w:rsid w:val="120E3A6C"/>
    <w:rsid w:val="1257313B"/>
    <w:rsid w:val="12601F0B"/>
    <w:rsid w:val="127B7321"/>
    <w:rsid w:val="132E7FA6"/>
    <w:rsid w:val="133B537F"/>
    <w:rsid w:val="139B5C75"/>
    <w:rsid w:val="13D7782C"/>
    <w:rsid w:val="13E9383C"/>
    <w:rsid w:val="143D0D80"/>
    <w:rsid w:val="1469705C"/>
    <w:rsid w:val="14EF7838"/>
    <w:rsid w:val="14F77C11"/>
    <w:rsid w:val="15131DF0"/>
    <w:rsid w:val="151C638B"/>
    <w:rsid w:val="15226909"/>
    <w:rsid w:val="15274957"/>
    <w:rsid w:val="154F5D4D"/>
    <w:rsid w:val="1594320F"/>
    <w:rsid w:val="15EC5170"/>
    <w:rsid w:val="162A797C"/>
    <w:rsid w:val="16393AEE"/>
    <w:rsid w:val="165C1EC5"/>
    <w:rsid w:val="16C37F39"/>
    <w:rsid w:val="16F35772"/>
    <w:rsid w:val="17B7334E"/>
    <w:rsid w:val="17CD2403"/>
    <w:rsid w:val="17E937AE"/>
    <w:rsid w:val="181D48C4"/>
    <w:rsid w:val="18255DD6"/>
    <w:rsid w:val="184D458D"/>
    <w:rsid w:val="185B13AE"/>
    <w:rsid w:val="188C0ABD"/>
    <w:rsid w:val="18EB15EF"/>
    <w:rsid w:val="19234752"/>
    <w:rsid w:val="192B0B9A"/>
    <w:rsid w:val="192E320B"/>
    <w:rsid w:val="197856BC"/>
    <w:rsid w:val="19AA096B"/>
    <w:rsid w:val="19B069E9"/>
    <w:rsid w:val="19DC3CF4"/>
    <w:rsid w:val="19EF1C2F"/>
    <w:rsid w:val="1A6105B6"/>
    <w:rsid w:val="1A707545"/>
    <w:rsid w:val="1A7B0FF9"/>
    <w:rsid w:val="1ACE64AB"/>
    <w:rsid w:val="1AEC2C50"/>
    <w:rsid w:val="1B057A41"/>
    <w:rsid w:val="1B367D8E"/>
    <w:rsid w:val="1B7109B6"/>
    <w:rsid w:val="1BF8349F"/>
    <w:rsid w:val="1C0D3A85"/>
    <w:rsid w:val="1C93612C"/>
    <w:rsid w:val="1CAE2196"/>
    <w:rsid w:val="1D013341"/>
    <w:rsid w:val="1D323688"/>
    <w:rsid w:val="1D5A33FD"/>
    <w:rsid w:val="1DCE5AB6"/>
    <w:rsid w:val="1DEB67E3"/>
    <w:rsid w:val="1DF65BA3"/>
    <w:rsid w:val="1E8C2CD6"/>
    <w:rsid w:val="1EB95194"/>
    <w:rsid w:val="1EC46953"/>
    <w:rsid w:val="1F352739"/>
    <w:rsid w:val="1F404C92"/>
    <w:rsid w:val="1F4A2C87"/>
    <w:rsid w:val="1F732CC3"/>
    <w:rsid w:val="1FDC3875"/>
    <w:rsid w:val="1FF64AF5"/>
    <w:rsid w:val="20060581"/>
    <w:rsid w:val="201D4D0E"/>
    <w:rsid w:val="203449BF"/>
    <w:rsid w:val="20615153"/>
    <w:rsid w:val="20784604"/>
    <w:rsid w:val="209A2193"/>
    <w:rsid w:val="20A27992"/>
    <w:rsid w:val="20AD33C0"/>
    <w:rsid w:val="20B014F7"/>
    <w:rsid w:val="20B047F8"/>
    <w:rsid w:val="20BB13C9"/>
    <w:rsid w:val="21344B4B"/>
    <w:rsid w:val="21357098"/>
    <w:rsid w:val="21B17A58"/>
    <w:rsid w:val="21B3797C"/>
    <w:rsid w:val="21DD2940"/>
    <w:rsid w:val="21DF1099"/>
    <w:rsid w:val="22264BFB"/>
    <w:rsid w:val="228A3679"/>
    <w:rsid w:val="228D60F6"/>
    <w:rsid w:val="22933B81"/>
    <w:rsid w:val="23021452"/>
    <w:rsid w:val="23105FD7"/>
    <w:rsid w:val="232F0410"/>
    <w:rsid w:val="233A7A0A"/>
    <w:rsid w:val="23532FA6"/>
    <w:rsid w:val="238A6703"/>
    <w:rsid w:val="23AD4F2E"/>
    <w:rsid w:val="23E0752E"/>
    <w:rsid w:val="240235FB"/>
    <w:rsid w:val="241033B9"/>
    <w:rsid w:val="24262A62"/>
    <w:rsid w:val="24633129"/>
    <w:rsid w:val="247C476A"/>
    <w:rsid w:val="24925309"/>
    <w:rsid w:val="24C70A7D"/>
    <w:rsid w:val="24E207E3"/>
    <w:rsid w:val="24F401BB"/>
    <w:rsid w:val="24F63A00"/>
    <w:rsid w:val="255741FF"/>
    <w:rsid w:val="25615BEB"/>
    <w:rsid w:val="25660E2E"/>
    <w:rsid w:val="257A60B7"/>
    <w:rsid w:val="258D7E8D"/>
    <w:rsid w:val="26046103"/>
    <w:rsid w:val="261F69B7"/>
    <w:rsid w:val="2735350E"/>
    <w:rsid w:val="27F90679"/>
    <w:rsid w:val="281618C5"/>
    <w:rsid w:val="28247C87"/>
    <w:rsid w:val="28376E94"/>
    <w:rsid w:val="285828E5"/>
    <w:rsid w:val="28653502"/>
    <w:rsid w:val="287309F7"/>
    <w:rsid w:val="28746B4A"/>
    <w:rsid w:val="28CA0FE2"/>
    <w:rsid w:val="28D36E04"/>
    <w:rsid w:val="291558A3"/>
    <w:rsid w:val="29487BC6"/>
    <w:rsid w:val="29551ED8"/>
    <w:rsid w:val="29831A2D"/>
    <w:rsid w:val="298C2759"/>
    <w:rsid w:val="29A7505E"/>
    <w:rsid w:val="29FA6023"/>
    <w:rsid w:val="2A337514"/>
    <w:rsid w:val="2A753821"/>
    <w:rsid w:val="2A9F5C2C"/>
    <w:rsid w:val="2AED2707"/>
    <w:rsid w:val="2B220DAD"/>
    <w:rsid w:val="2B4F3BB5"/>
    <w:rsid w:val="2B5D54E7"/>
    <w:rsid w:val="2B5E29B1"/>
    <w:rsid w:val="2C2529BD"/>
    <w:rsid w:val="2C82694E"/>
    <w:rsid w:val="2D01320C"/>
    <w:rsid w:val="2D21246F"/>
    <w:rsid w:val="2D3A646F"/>
    <w:rsid w:val="2D5B7474"/>
    <w:rsid w:val="2D7B6A45"/>
    <w:rsid w:val="2D85734B"/>
    <w:rsid w:val="2DA83E89"/>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7F76B3"/>
    <w:rsid w:val="30B85EDF"/>
    <w:rsid w:val="30E273D5"/>
    <w:rsid w:val="311F1E9F"/>
    <w:rsid w:val="31871F90"/>
    <w:rsid w:val="31896F3A"/>
    <w:rsid w:val="31A3609D"/>
    <w:rsid w:val="31F8192B"/>
    <w:rsid w:val="32114431"/>
    <w:rsid w:val="322D2CB4"/>
    <w:rsid w:val="32933866"/>
    <w:rsid w:val="32D108F1"/>
    <w:rsid w:val="337A0AF0"/>
    <w:rsid w:val="33A73A6E"/>
    <w:rsid w:val="33A91A06"/>
    <w:rsid w:val="33D608B3"/>
    <w:rsid w:val="33EE45A0"/>
    <w:rsid w:val="341A178E"/>
    <w:rsid w:val="34360EE0"/>
    <w:rsid w:val="34520027"/>
    <w:rsid w:val="34524EB7"/>
    <w:rsid w:val="3455668C"/>
    <w:rsid w:val="345C23B7"/>
    <w:rsid w:val="348859FE"/>
    <w:rsid w:val="34DA4A3E"/>
    <w:rsid w:val="34E15892"/>
    <w:rsid w:val="3511435E"/>
    <w:rsid w:val="35437047"/>
    <w:rsid w:val="355431A7"/>
    <w:rsid w:val="357525C9"/>
    <w:rsid w:val="35933AE6"/>
    <w:rsid w:val="35AB6C71"/>
    <w:rsid w:val="35C25411"/>
    <w:rsid w:val="35D25DC6"/>
    <w:rsid w:val="35ED61F6"/>
    <w:rsid w:val="36137A13"/>
    <w:rsid w:val="368E7BB6"/>
    <w:rsid w:val="36AD40BA"/>
    <w:rsid w:val="372307D4"/>
    <w:rsid w:val="3737610F"/>
    <w:rsid w:val="374D5432"/>
    <w:rsid w:val="37507B97"/>
    <w:rsid w:val="376800F7"/>
    <w:rsid w:val="37970C53"/>
    <w:rsid w:val="37DE233C"/>
    <w:rsid w:val="38AE2559"/>
    <w:rsid w:val="38D3595B"/>
    <w:rsid w:val="397321E5"/>
    <w:rsid w:val="399120D1"/>
    <w:rsid w:val="39C24964"/>
    <w:rsid w:val="3A0E62A5"/>
    <w:rsid w:val="3A170417"/>
    <w:rsid w:val="3A657A4A"/>
    <w:rsid w:val="3A7F469D"/>
    <w:rsid w:val="3A9C47F5"/>
    <w:rsid w:val="3B4A7624"/>
    <w:rsid w:val="3BCC7916"/>
    <w:rsid w:val="3C272250"/>
    <w:rsid w:val="3C5E58C4"/>
    <w:rsid w:val="3C720321"/>
    <w:rsid w:val="3C7A2CE2"/>
    <w:rsid w:val="3C7B52F5"/>
    <w:rsid w:val="3C7E7DD7"/>
    <w:rsid w:val="3CB4373A"/>
    <w:rsid w:val="3CEB7B3A"/>
    <w:rsid w:val="3CF303F6"/>
    <w:rsid w:val="3D2C717E"/>
    <w:rsid w:val="3D4334B9"/>
    <w:rsid w:val="3DC24A10"/>
    <w:rsid w:val="3E04466D"/>
    <w:rsid w:val="3E0502C1"/>
    <w:rsid w:val="3E3D5C2B"/>
    <w:rsid w:val="3EBA4C2E"/>
    <w:rsid w:val="3F131871"/>
    <w:rsid w:val="3F61072F"/>
    <w:rsid w:val="3F695B2B"/>
    <w:rsid w:val="3F796BD4"/>
    <w:rsid w:val="3F83291A"/>
    <w:rsid w:val="3F8A0ED3"/>
    <w:rsid w:val="3FA6594E"/>
    <w:rsid w:val="3FCE5511"/>
    <w:rsid w:val="3FE14580"/>
    <w:rsid w:val="400E1E38"/>
    <w:rsid w:val="402463CB"/>
    <w:rsid w:val="40524664"/>
    <w:rsid w:val="4085534C"/>
    <w:rsid w:val="408A0A24"/>
    <w:rsid w:val="409A53EB"/>
    <w:rsid w:val="40B777D3"/>
    <w:rsid w:val="40FF4699"/>
    <w:rsid w:val="41235668"/>
    <w:rsid w:val="412B1E92"/>
    <w:rsid w:val="413A6B31"/>
    <w:rsid w:val="4140798F"/>
    <w:rsid w:val="414E1C42"/>
    <w:rsid w:val="41517023"/>
    <w:rsid w:val="416E066D"/>
    <w:rsid w:val="41815E1D"/>
    <w:rsid w:val="42155935"/>
    <w:rsid w:val="423E4ED9"/>
    <w:rsid w:val="426E267A"/>
    <w:rsid w:val="42D73734"/>
    <w:rsid w:val="43375BBF"/>
    <w:rsid w:val="43960FD8"/>
    <w:rsid w:val="43D50FEC"/>
    <w:rsid w:val="43D910F0"/>
    <w:rsid w:val="43F62BC1"/>
    <w:rsid w:val="449C66AF"/>
    <w:rsid w:val="44C96627"/>
    <w:rsid w:val="44CB088F"/>
    <w:rsid w:val="44F57E99"/>
    <w:rsid w:val="45065B38"/>
    <w:rsid w:val="45150771"/>
    <w:rsid w:val="454476BE"/>
    <w:rsid w:val="454756A0"/>
    <w:rsid w:val="456F1BE7"/>
    <w:rsid w:val="45847093"/>
    <w:rsid w:val="45B97A14"/>
    <w:rsid w:val="461B7A3A"/>
    <w:rsid w:val="4653609C"/>
    <w:rsid w:val="46A423CE"/>
    <w:rsid w:val="46CC256C"/>
    <w:rsid w:val="46E36A7D"/>
    <w:rsid w:val="47045DC3"/>
    <w:rsid w:val="47057992"/>
    <w:rsid w:val="477D0A2F"/>
    <w:rsid w:val="47A82FFD"/>
    <w:rsid w:val="47B701F5"/>
    <w:rsid w:val="47EB56E1"/>
    <w:rsid w:val="483905F2"/>
    <w:rsid w:val="4849005D"/>
    <w:rsid w:val="48545ACA"/>
    <w:rsid w:val="48654977"/>
    <w:rsid w:val="488C6E75"/>
    <w:rsid w:val="48C321F4"/>
    <w:rsid w:val="48D151DA"/>
    <w:rsid w:val="48DE5B50"/>
    <w:rsid w:val="48FF0DFE"/>
    <w:rsid w:val="49AD72D9"/>
    <w:rsid w:val="49BF2265"/>
    <w:rsid w:val="49CA4591"/>
    <w:rsid w:val="49DD599C"/>
    <w:rsid w:val="4A7D48B5"/>
    <w:rsid w:val="4AE2074A"/>
    <w:rsid w:val="4AE35FAB"/>
    <w:rsid w:val="4B044DB0"/>
    <w:rsid w:val="4B314EC9"/>
    <w:rsid w:val="4B3C1AC2"/>
    <w:rsid w:val="4C2131E6"/>
    <w:rsid w:val="4C2E7F1D"/>
    <w:rsid w:val="4C7B3A6C"/>
    <w:rsid w:val="4C8009A3"/>
    <w:rsid w:val="4CA5688D"/>
    <w:rsid w:val="4CFA41E1"/>
    <w:rsid w:val="4D0647E6"/>
    <w:rsid w:val="4D3D6ABF"/>
    <w:rsid w:val="4D474DBE"/>
    <w:rsid w:val="4D5B71EC"/>
    <w:rsid w:val="4D895B83"/>
    <w:rsid w:val="4D931DB6"/>
    <w:rsid w:val="4DC14920"/>
    <w:rsid w:val="4DFC0450"/>
    <w:rsid w:val="4E111275"/>
    <w:rsid w:val="4E2D74E1"/>
    <w:rsid w:val="4E824F9D"/>
    <w:rsid w:val="4EDD08E9"/>
    <w:rsid w:val="4EFC718B"/>
    <w:rsid w:val="4F0768BB"/>
    <w:rsid w:val="4F114B96"/>
    <w:rsid w:val="4F2308EF"/>
    <w:rsid w:val="4F294268"/>
    <w:rsid w:val="4F480852"/>
    <w:rsid w:val="5034385D"/>
    <w:rsid w:val="5075485B"/>
    <w:rsid w:val="508839C8"/>
    <w:rsid w:val="50E13B71"/>
    <w:rsid w:val="51010F22"/>
    <w:rsid w:val="51104F77"/>
    <w:rsid w:val="519B3F7B"/>
    <w:rsid w:val="51A96058"/>
    <w:rsid w:val="51B313CC"/>
    <w:rsid w:val="51BB3C0C"/>
    <w:rsid w:val="51E66290"/>
    <w:rsid w:val="52647CD1"/>
    <w:rsid w:val="526F3518"/>
    <w:rsid w:val="532A692B"/>
    <w:rsid w:val="533A041D"/>
    <w:rsid w:val="53F1227E"/>
    <w:rsid w:val="5423436B"/>
    <w:rsid w:val="54300A57"/>
    <w:rsid w:val="54D81BC9"/>
    <w:rsid w:val="54F31C70"/>
    <w:rsid w:val="55427F71"/>
    <w:rsid w:val="557F73BB"/>
    <w:rsid w:val="55831B3D"/>
    <w:rsid w:val="55C256B9"/>
    <w:rsid w:val="55EC0C5F"/>
    <w:rsid w:val="55FD46C1"/>
    <w:rsid w:val="565F67C7"/>
    <w:rsid w:val="56A74288"/>
    <w:rsid w:val="56E055F3"/>
    <w:rsid w:val="5711697C"/>
    <w:rsid w:val="579265BE"/>
    <w:rsid w:val="57B15E3E"/>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873088"/>
    <w:rsid w:val="5D9233EA"/>
    <w:rsid w:val="5DBF0E47"/>
    <w:rsid w:val="5DC45DBE"/>
    <w:rsid w:val="5DC5615F"/>
    <w:rsid w:val="5E320D32"/>
    <w:rsid w:val="5E3A23A6"/>
    <w:rsid w:val="5E40400B"/>
    <w:rsid w:val="5E426981"/>
    <w:rsid w:val="5E7F0481"/>
    <w:rsid w:val="5E8B2D52"/>
    <w:rsid w:val="5EA722F0"/>
    <w:rsid w:val="5F6D0C22"/>
    <w:rsid w:val="5FF330FC"/>
    <w:rsid w:val="601C418A"/>
    <w:rsid w:val="60312EBD"/>
    <w:rsid w:val="60496D39"/>
    <w:rsid w:val="6092785E"/>
    <w:rsid w:val="60A14E0E"/>
    <w:rsid w:val="60BB6BBF"/>
    <w:rsid w:val="61403A29"/>
    <w:rsid w:val="61886990"/>
    <w:rsid w:val="61D812B9"/>
    <w:rsid w:val="61D97E22"/>
    <w:rsid w:val="623E0A93"/>
    <w:rsid w:val="6240174B"/>
    <w:rsid w:val="62490A5A"/>
    <w:rsid w:val="626605A8"/>
    <w:rsid w:val="629457A8"/>
    <w:rsid w:val="62A43AF9"/>
    <w:rsid w:val="62BC491B"/>
    <w:rsid w:val="62E972C2"/>
    <w:rsid w:val="63354556"/>
    <w:rsid w:val="633B0C28"/>
    <w:rsid w:val="63710425"/>
    <w:rsid w:val="637512DF"/>
    <w:rsid w:val="637E23A2"/>
    <w:rsid w:val="638920E0"/>
    <w:rsid w:val="63A177C9"/>
    <w:rsid w:val="63C4679E"/>
    <w:rsid w:val="642379C5"/>
    <w:rsid w:val="642E15AE"/>
    <w:rsid w:val="64531F05"/>
    <w:rsid w:val="64671862"/>
    <w:rsid w:val="64D34B2D"/>
    <w:rsid w:val="651376B7"/>
    <w:rsid w:val="656649C4"/>
    <w:rsid w:val="65D67393"/>
    <w:rsid w:val="65D93B1D"/>
    <w:rsid w:val="663650FC"/>
    <w:rsid w:val="663C25E1"/>
    <w:rsid w:val="666F013A"/>
    <w:rsid w:val="66BC0E05"/>
    <w:rsid w:val="66FE564E"/>
    <w:rsid w:val="67093C20"/>
    <w:rsid w:val="67230D95"/>
    <w:rsid w:val="672A3BCD"/>
    <w:rsid w:val="68216299"/>
    <w:rsid w:val="686660AE"/>
    <w:rsid w:val="688F2809"/>
    <w:rsid w:val="6899385B"/>
    <w:rsid w:val="68AE41F3"/>
    <w:rsid w:val="692861FC"/>
    <w:rsid w:val="693037E7"/>
    <w:rsid w:val="695A5B5C"/>
    <w:rsid w:val="697F74A7"/>
    <w:rsid w:val="698C0ED7"/>
    <w:rsid w:val="699B2B73"/>
    <w:rsid w:val="69A770EA"/>
    <w:rsid w:val="6A021E17"/>
    <w:rsid w:val="6A387438"/>
    <w:rsid w:val="6A4F71C1"/>
    <w:rsid w:val="6A563F89"/>
    <w:rsid w:val="6A6C2EB7"/>
    <w:rsid w:val="6AA80864"/>
    <w:rsid w:val="6AA90889"/>
    <w:rsid w:val="6AB9328C"/>
    <w:rsid w:val="6AED15E9"/>
    <w:rsid w:val="6AF0115C"/>
    <w:rsid w:val="6B156E29"/>
    <w:rsid w:val="6B3B6FA0"/>
    <w:rsid w:val="6B5E436A"/>
    <w:rsid w:val="6B7D189E"/>
    <w:rsid w:val="6BB74F29"/>
    <w:rsid w:val="6BBD5648"/>
    <w:rsid w:val="6C2B6830"/>
    <w:rsid w:val="6C912E54"/>
    <w:rsid w:val="6CAB2DE1"/>
    <w:rsid w:val="6D0A3E25"/>
    <w:rsid w:val="6D0E73EA"/>
    <w:rsid w:val="6D3B5643"/>
    <w:rsid w:val="6D6546FD"/>
    <w:rsid w:val="6D953261"/>
    <w:rsid w:val="6DA84EE1"/>
    <w:rsid w:val="6E1B5725"/>
    <w:rsid w:val="6E7B1D76"/>
    <w:rsid w:val="6F011566"/>
    <w:rsid w:val="6F6E592F"/>
    <w:rsid w:val="6FCB6592"/>
    <w:rsid w:val="7068455C"/>
    <w:rsid w:val="70A402CF"/>
    <w:rsid w:val="71490590"/>
    <w:rsid w:val="7165302F"/>
    <w:rsid w:val="717F0A9B"/>
    <w:rsid w:val="719666A3"/>
    <w:rsid w:val="723E5444"/>
    <w:rsid w:val="72F56F08"/>
    <w:rsid w:val="72FD347C"/>
    <w:rsid w:val="73004BD7"/>
    <w:rsid w:val="730E518C"/>
    <w:rsid w:val="731C5C06"/>
    <w:rsid w:val="73211019"/>
    <w:rsid w:val="73462E37"/>
    <w:rsid w:val="7365736C"/>
    <w:rsid w:val="73B95A25"/>
    <w:rsid w:val="73C96D17"/>
    <w:rsid w:val="73EE6EFF"/>
    <w:rsid w:val="73F27731"/>
    <w:rsid w:val="74687F9F"/>
    <w:rsid w:val="74842034"/>
    <w:rsid w:val="74C374EF"/>
    <w:rsid w:val="750760F8"/>
    <w:rsid w:val="75162487"/>
    <w:rsid w:val="756B3D78"/>
    <w:rsid w:val="759A2AC3"/>
    <w:rsid w:val="761210AA"/>
    <w:rsid w:val="767C5C18"/>
    <w:rsid w:val="76904709"/>
    <w:rsid w:val="769D0054"/>
    <w:rsid w:val="76C11445"/>
    <w:rsid w:val="774D5183"/>
    <w:rsid w:val="776B6348"/>
    <w:rsid w:val="77A05FF6"/>
    <w:rsid w:val="77DF3816"/>
    <w:rsid w:val="77EA63A3"/>
    <w:rsid w:val="78503AFC"/>
    <w:rsid w:val="78797974"/>
    <w:rsid w:val="78A0364D"/>
    <w:rsid w:val="7945193E"/>
    <w:rsid w:val="797B2BE8"/>
    <w:rsid w:val="799F5CAA"/>
    <w:rsid w:val="79C55BAD"/>
    <w:rsid w:val="79D67130"/>
    <w:rsid w:val="79D70E4C"/>
    <w:rsid w:val="79EB0AE8"/>
    <w:rsid w:val="7A44619D"/>
    <w:rsid w:val="7AC13FB3"/>
    <w:rsid w:val="7B5015BF"/>
    <w:rsid w:val="7C2408DA"/>
    <w:rsid w:val="7C584AB6"/>
    <w:rsid w:val="7C8901F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E44E4"/>
    <w:rsid w:val="7EE81588"/>
    <w:rsid w:val="7EFC0521"/>
    <w:rsid w:val="7F07792B"/>
    <w:rsid w:val="7F082B8F"/>
    <w:rsid w:val="7F0A2441"/>
    <w:rsid w:val="7F755508"/>
    <w:rsid w:val="7FAF78C9"/>
    <w:rsid w:val="7FBB2973"/>
    <w:rsid w:val="7FFF7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List Paragraph"/>
    <w:basedOn w:val="1"/>
    <w:qFormat/>
    <w:uiPriority w:val="34"/>
    <w:pPr>
      <w:ind w:firstLine="420" w:firstLineChars="200"/>
    </w:pPr>
  </w:style>
  <w:style w:type="paragraph" w:customStyle="1" w:styleId="11">
    <w:name w:val="p0"/>
    <w:basedOn w:val="1"/>
    <w:qFormat/>
    <w:uiPriority w:val="0"/>
    <w:pPr>
      <w:widowControl/>
      <w:adjustRightInd w:val="0"/>
      <w:snapToGrid w:val="0"/>
      <w:spacing w:after="200" w:line="365" w:lineRule="atLeast"/>
      <w:ind w:left="1"/>
      <w:jc w:val="left"/>
      <w:textAlignment w:val="bottom"/>
    </w:pPr>
    <w:rPr>
      <w:rFonts w:ascii="Tahoma" w:hAnsi="Tahoma" w:eastAsia="微软雅黑" w:cstheme="minorBidi"/>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2022-12-05T11:05:54Z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