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察隅县统计局2021年度部门预算</w:t>
      </w:r>
    </w:p>
    <w:p>
      <w:pPr>
        <w:spacing w:line="560" w:lineRule="exact"/>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2021年2月1日</w:t>
      </w: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spacing w:line="560" w:lineRule="exact"/>
        <w:rPr>
          <w:rFonts w:ascii="黑体" w:hAnsi="黑体" w:eastAsia="黑体"/>
          <w:sz w:val="32"/>
          <w:szCs w:val="32"/>
        </w:rPr>
      </w:pPr>
      <w:r>
        <w:rPr>
          <w:rFonts w:hint="eastAsia" w:ascii="黑体" w:hAnsi="黑体" w:eastAsia="黑体"/>
          <w:sz w:val="32"/>
          <w:szCs w:val="32"/>
        </w:rPr>
        <w:t>第一部分 察隅县统计局概况</w:t>
      </w:r>
    </w:p>
    <w:p>
      <w:pPr>
        <w:spacing w:line="560" w:lineRule="exact"/>
        <w:rPr>
          <w:rFonts w:ascii="仿宋_GB2312" w:hAnsi="黑体" w:eastAsia="仿宋_GB2312"/>
          <w:sz w:val="32"/>
          <w:szCs w:val="32"/>
        </w:rPr>
      </w:pPr>
      <w:r>
        <w:rPr>
          <w:rFonts w:hint="eastAsia" w:ascii="仿宋_GB2312" w:hAnsi="黑体" w:eastAsia="仿宋_GB2312"/>
          <w:sz w:val="32"/>
          <w:szCs w:val="32"/>
        </w:rPr>
        <w:t>一、主要职能</w:t>
      </w:r>
    </w:p>
    <w:p>
      <w:pPr>
        <w:spacing w:line="560" w:lineRule="exact"/>
        <w:rPr>
          <w:rFonts w:ascii="仿宋_GB2312" w:hAnsi="黑体" w:eastAsia="仿宋_GB2312"/>
          <w:sz w:val="32"/>
          <w:szCs w:val="32"/>
        </w:rPr>
      </w:pPr>
      <w:r>
        <w:rPr>
          <w:rFonts w:hint="eastAsia" w:ascii="仿宋_GB2312" w:hAnsi="黑体" w:eastAsia="仿宋_GB2312"/>
          <w:sz w:val="32"/>
          <w:szCs w:val="32"/>
        </w:rPr>
        <w:t>二、部门预算单位构成</w:t>
      </w:r>
    </w:p>
    <w:p>
      <w:pPr>
        <w:spacing w:line="560" w:lineRule="exact"/>
        <w:rPr>
          <w:rFonts w:ascii="黑体" w:hAnsi="黑体" w:eastAsia="黑体"/>
          <w:sz w:val="32"/>
          <w:szCs w:val="32"/>
        </w:rPr>
      </w:pPr>
      <w:r>
        <w:rPr>
          <w:rFonts w:hint="eastAsia" w:ascii="黑体" w:hAnsi="黑体" w:eastAsia="黑体"/>
          <w:sz w:val="32"/>
          <w:szCs w:val="32"/>
        </w:rPr>
        <w:t>第二部分  察隅县统计局2021年度部门预算明细表</w:t>
      </w:r>
    </w:p>
    <w:p>
      <w:pPr>
        <w:spacing w:line="560" w:lineRule="exact"/>
        <w:rPr>
          <w:rFonts w:ascii="仿宋_GB2312" w:hAnsi="黑体" w:eastAsia="仿宋_GB2312"/>
          <w:sz w:val="32"/>
          <w:szCs w:val="32"/>
        </w:rPr>
      </w:pPr>
      <w:r>
        <w:rPr>
          <w:rFonts w:hint="eastAsia" w:ascii="仿宋_GB2312" w:hAnsi="黑体" w:eastAsia="仿宋_GB2312"/>
          <w:sz w:val="32"/>
          <w:szCs w:val="32"/>
        </w:rPr>
        <w:t>一、部门收支总体情况表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二、部门收入总体情况表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三、部门支出总体情况表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四、财政拨款收支总体情况表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五、一般公共预算支出情况表（按功能分类科目）</w:t>
      </w:r>
    </w:p>
    <w:p>
      <w:pPr>
        <w:spacing w:line="560" w:lineRule="exact"/>
        <w:rPr>
          <w:rFonts w:ascii="仿宋_GB2312" w:hAnsi="黑体" w:eastAsia="仿宋_GB2312"/>
          <w:sz w:val="32"/>
          <w:szCs w:val="32"/>
        </w:rPr>
      </w:pPr>
      <w:r>
        <w:rPr>
          <w:rFonts w:hint="eastAsia" w:ascii="仿宋_GB2312" w:hAnsi="黑体" w:eastAsia="仿宋_GB2312"/>
          <w:sz w:val="32"/>
          <w:szCs w:val="32"/>
        </w:rPr>
        <w:t>六、一般公共预算基本支出情况表（按经济分类款级科目）</w:t>
      </w:r>
    </w:p>
    <w:p>
      <w:pPr>
        <w:spacing w:line="560" w:lineRule="exact"/>
        <w:rPr>
          <w:rFonts w:ascii="仿宋_GB2312" w:hAnsi="黑体" w:eastAsia="仿宋_GB2312"/>
          <w:sz w:val="32"/>
          <w:szCs w:val="32"/>
        </w:rPr>
      </w:pPr>
      <w:r>
        <w:rPr>
          <w:rFonts w:hint="eastAsia" w:ascii="仿宋_GB2312" w:hAnsi="黑体" w:eastAsia="仿宋_GB2312"/>
          <w:sz w:val="32"/>
          <w:szCs w:val="32"/>
        </w:rPr>
        <w:t>七、一般公共预算“三公”经费支出情况表</w:t>
      </w:r>
    </w:p>
    <w:p>
      <w:pPr>
        <w:spacing w:line="560" w:lineRule="exact"/>
        <w:rPr>
          <w:rFonts w:ascii="仿宋_GB2312" w:hAnsi="黑体" w:eastAsia="仿宋_GB2312"/>
          <w:sz w:val="32"/>
          <w:szCs w:val="32"/>
        </w:rPr>
      </w:pPr>
      <w:r>
        <w:rPr>
          <w:rFonts w:hint="eastAsia" w:ascii="仿宋_GB2312" w:hAnsi="黑体" w:eastAsia="仿宋_GB2312"/>
          <w:sz w:val="32"/>
          <w:szCs w:val="32"/>
        </w:rPr>
        <w:t>八、政府性基金“三公”经费支出情况表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九、政府性基金预算支出情况表</w:t>
      </w:r>
    </w:p>
    <w:p>
      <w:pPr>
        <w:spacing w:line="560" w:lineRule="exact"/>
        <w:rPr>
          <w:rFonts w:ascii="仿宋_GB2312" w:hAnsi="黑体" w:eastAsia="仿宋_GB2312"/>
          <w:sz w:val="32"/>
          <w:szCs w:val="32"/>
        </w:rPr>
      </w:pPr>
      <w:r>
        <w:rPr>
          <w:rFonts w:hint="eastAsia" w:ascii="仿宋_GB2312" w:hAnsi="黑体" w:eastAsia="仿宋_GB2312"/>
          <w:sz w:val="32"/>
          <w:szCs w:val="32"/>
        </w:rPr>
        <w:t>十、项目支出绩效表</w:t>
      </w:r>
    </w:p>
    <w:p>
      <w:pPr>
        <w:spacing w:line="560" w:lineRule="exact"/>
        <w:rPr>
          <w:rFonts w:ascii="仿宋_GB2312" w:hAnsi="黑体" w:eastAsia="仿宋_GB2312"/>
          <w:sz w:val="32"/>
          <w:szCs w:val="32"/>
        </w:rPr>
      </w:pPr>
      <w:r>
        <w:rPr>
          <w:rFonts w:hint="eastAsia" w:ascii="仿宋_GB2312" w:hAnsi="黑体" w:eastAsia="仿宋_GB2312"/>
          <w:sz w:val="32"/>
          <w:szCs w:val="32"/>
        </w:rPr>
        <w:t>十一、政府购买服务预算表</w:t>
      </w:r>
    </w:p>
    <w:p>
      <w:pPr>
        <w:spacing w:line="560" w:lineRule="exact"/>
        <w:rPr>
          <w:rFonts w:ascii="黑体" w:hAnsi="黑体" w:eastAsia="黑体"/>
          <w:sz w:val="32"/>
          <w:szCs w:val="32"/>
        </w:rPr>
      </w:pPr>
      <w:r>
        <w:rPr>
          <w:rFonts w:hint="eastAsia" w:ascii="黑体" w:hAnsi="黑体" w:eastAsia="黑体"/>
          <w:sz w:val="32"/>
          <w:szCs w:val="32"/>
        </w:rPr>
        <w:t>第三部分  察隅县统计局2021年度部门预算数据分析</w:t>
      </w:r>
    </w:p>
    <w:p>
      <w:pPr>
        <w:spacing w:line="560" w:lineRule="exact"/>
        <w:rPr>
          <w:rFonts w:ascii="黑体" w:hAnsi="黑体" w:eastAsia="黑体"/>
          <w:sz w:val="32"/>
          <w:szCs w:val="32"/>
        </w:rPr>
      </w:pPr>
      <w:r>
        <w:rPr>
          <w:rFonts w:hint="eastAsia" w:ascii="黑体" w:hAnsi="黑体" w:eastAsia="黑体"/>
          <w:sz w:val="32"/>
          <w:szCs w:val="32"/>
        </w:rPr>
        <w:t>第四部分  名词解释</w:t>
      </w:r>
    </w:p>
    <w:p>
      <w:pPr>
        <w:widowControl/>
        <w:tabs>
          <w:tab w:val="left" w:pos="312"/>
        </w:tabs>
        <w:adjustRightInd w:val="0"/>
        <w:snapToGrid w:val="0"/>
        <w:spacing w:line="560" w:lineRule="exact"/>
        <w:rPr>
          <w:rFonts w:ascii="仿宋_GB2312" w:hAnsi="仿宋" w:eastAsia="仿宋_GB2312"/>
          <w:sz w:val="32"/>
          <w:szCs w:val="32"/>
        </w:rPr>
      </w:pPr>
    </w:p>
    <w:p>
      <w:pPr>
        <w:widowControl/>
        <w:tabs>
          <w:tab w:val="left" w:pos="312"/>
        </w:tabs>
        <w:adjustRightInd w:val="0"/>
        <w:snapToGrid w:val="0"/>
        <w:spacing w:line="560" w:lineRule="exact"/>
        <w:rPr>
          <w:rFonts w:ascii="仿宋_GB2312" w:hAnsi="宋体" w:eastAsia="仿宋_GB2312"/>
          <w:snapToGrid w:val="0"/>
          <w:w w:val="95"/>
          <w:sz w:val="32"/>
          <w:szCs w:val="32"/>
        </w:rPr>
      </w:pPr>
    </w:p>
    <w:p>
      <w:pPr>
        <w:jc w:val="center"/>
        <w:rPr>
          <w:rFonts w:ascii="方正小标宋简体" w:hAnsi="仿宋" w:eastAsia="方正小标宋简体"/>
          <w:sz w:val="32"/>
          <w:szCs w:val="32"/>
        </w:rPr>
      </w:pPr>
    </w:p>
    <w:p>
      <w:pPr>
        <w:spacing w:line="560" w:lineRule="exact"/>
        <w:jc w:val="center"/>
        <w:rPr>
          <w:rFonts w:ascii="方正小标宋简体" w:hAnsi="仿宋" w:eastAsia="方正小标宋简体"/>
          <w:sz w:val="44"/>
          <w:szCs w:val="44"/>
        </w:rPr>
        <w:sectPr>
          <w:headerReference r:id="rId4" w:type="default"/>
          <w:footerReference r:id="rId5" w:type="even"/>
          <w:pgSz w:w="11906" w:h="16838"/>
          <w:pgMar w:top="1440" w:right="1800" w:bottom="1440" w:left="1800" w:header="851" w:footer="992" w:gutter="0"/>
          <w:cols w:space="425" w:num="1"/>
          <w:docGrid w:type="lines" w:linePitch="312" w:charSpace="0"/>
        </w:sectPr>
      </w:pPr>
    </w:p>
    <w:p>
      <w:pPr>
        <w:spacing w:line="560" w:lineRule="atLeast"/>
        <w:jc w:val="center"/>
        <w:rPr>
          <w:rFonts w:ascii="方正小标宋简体" w:hAnsi="仿宋" w:eastAsia="方正小标宋简体"/>
          <w:sz w:val="44"/>
          <w:szCs w:val="44"/>
        </w:rPr>
      </w:pPr>
      <w:r>
        <w:rPr>
          <w:rFonts w:hint="eastAsia" w:ascii="方正小标宋简体" w:hAnsi="仿宋" w:eastAsia="方正小标宋简体"/>
          <w:sz w:val="44"/>
          <w:szCs w:val="44"/>
        </w:rPr>
        <w:t>第一部分  察隅县统计局概况</w:t>
      </w:r>
    </w:p>
    <w:p>
      <w:pPr>
        <w:spacing w:line="560" w:lineRule="atLeast"/>
        <w:rPr>
          <w:rFonts w:ascii="仿宋" w:hAnsi="仿宋" w:eastAsia="仿宋"/>
          <w:sz w:val="32"/>
          <w:szCs w:val="32"/>
        </w:rPr>
      </w:pPr>
    </w:p>
    <w:p>
      <w:pPr>
        <w:spacing w:line="560" w:lineRule="atLeast"/>
        <w:ind w:firstLine="640" w:firstLineChars="200"/>
        <w:rPr>
          <w:rFonts w:ascii="黑体" w:hAnsi="黑体" w:eastAsia="黑体"/>
          <w:sz w:val="32"/>
          <w:szCs w:val="32"/>
        </w:rPr>
      </w:pPr>
      <w:r>
        <w:rPr>
          <w:rFonts w:hint="eastAsia" w:ascii="黑体" w:hAnsi="黑体" w:eastAsia="黑体"/>
          <w:sz w:val="32"/>
          <w:szCs w:val="32"/>
        </w:rPr>
        <w:t>一、统计局主要职能</w:t>
      </w:r>
    </w:p>
    <w:p>
      <w:pPr>
        <w:widowControl/>
        <w:spacing w:line="560" w:lineRule="atLeast"/>
        <w:ind w:firstLine="640" w:firstLineChars="200"/>
        <w:rPr>
          <w:rFonts w:eastAsia="FangSong_GB2312"/>
          <w:sz w:val="32"/>
        </w:rPr>
      </w:pPr>
      <w:r>
        <w:rPr>
          <w:rFonts w:eastAsia="FangSong_GB2312"/>
          <w:sz w:val="32"/>
        </w:rPr>
        <w:t>（一）贯彻执行国家、自治区</w:t>
      </w:r>
      <w:r>
        <w:rPr>
          <w:rFonts w:hint="eastAsia" w:eastAsia="FangSong_GB2312"/>
          <w:sz w:val="32"/>
        </w:rPr>
        <w:t>、市</w:t>
      </w:r>
      <w:r>
        <w:rPr>
          <w:rFonts w:eastAsia="FangSong_GB2312"/>
          <w:sz w:val="32"/>
        </w:rPr>
        <w:t>关于统计工作的法律法规、标准和方法。起草地方性法规草案和规章草案，拟订统计发展规划并组织实施。组织领导和协调</w:t>
      </w:r>
      <w:r>
        <w:rPr>
          <w:rFonts w:hint="eastAsia" w:eastAsia="FangSong_GB2312"/>
          <w:sz w:val="32"/>
        </w:rPr>
        <w:t>全县</w:t>
      </w:r>
      <w:r>
        <w:rPr>
          <w:rFonts w:eastAsia="FangSong_GB2312"/>
          <w:sz w:val="32"/>
        </w:rPr>
        <w:t>统计工作。</w:t>
      </w:r>
    </w:p>
    <w:p>
      <w:pPr>
        <w:spacing w:line="560" w:lineRule="atLeast"/>
        <w:ind w:firstLine="640" w:firstLineChars="200"/>
        <w:rPr>
          <w:rFonts w:eastAsia="FangSong_GB2312"/>
          <w:sz w:val="32"/>
        </w:rPr>
      </w:pPr>
      <w:r>
        <w:rPr>
          <w:rFonts w:eastAsia="FangSong_GB2312"/>
          <w:sz w:val="32"/>
        </w:rPr>
        <w:t>（二）建立健</w:t>
      </w:r>
      <w:r>
        <w:rPr>
          <w:rFonts w:hint="eastAsia" w:eastAsia="FangSong_GB2312"/>
          <w:sz w:val="32"/>
        </w:rPr>
        <w:t>全县级</w:t>
      </w:r>
      <w:r>
        <w:rPr>
          <w:rFonts w:eastAsia="FangSong_GB2312"/>
          <w:sz w:val="32"/>
        </w:rPr>
        <w:t>国民经济核算体系和统计指标体系，核算</w:t>
      </w:r>
      <w:r>
        <w:rPr>
          <w:rFonts w:hint="eastAsia" w:eastAsia="FangSong_GB2312"/>
          <w:sz w:val="32"/>
        </w:rPr>
        <w:t>全县及</w:t>
      </w:r>
      <w:r>
        <w:rPr>
          <w:rFonts w:eastAsia="FangSong_GB2312"/>
          <w:sz w:val="32"/>
        </w:rPr>
        <w:t>各</w:t>
      </w:r>
      <w:r>
        <w:rPr>
          <w:rFonts w:hint="eastAsia" w:eastAsia="FangSong_GB2312"/>
          <w:sz w:val="32"/>
        </w:rPr>
        <w:t>乡</w:t>
      </w:r>
      <w:r>
        <w:rPr>
          <w:rFonts w:eastAsia="FangSong_GB2312"/>
          <w:sz w:val="32"/>
        </w:rPr>
        <w:t>（</w:t>
      </w:r>
      <w:r>
        <w:rPr>
          <w:rFonts w:hint="eastAsia" w:eastAsia="FangSong_GB2312"/>
          <w:sz w:val="32"/>
        </w:rPr>
        <w:t>镇</w:t>
      </w:r>
      <w:r>
        <w:rPr>
          <w:rFonts w:eastAsia="FangSong_GB2312"/>
          <w:sz w:val="32"/>
        </w:rPr>
        <w:t>）生产总值，汇编提供国民经济核算资料，监督管理各</w:t>
      </w:r>
      <w:r>
        <w:rPr>
          <w:rFonts w:hint="eastAsia" w:eastAsia="FangSong_GB2312"/>
          <w:sz w:val="32"/>
        </w:rPr>
        <w:t>乡</w:t>
      </w:r>
      <w:r>
        <w:rPr>
          <w:rFonts w:eastAsia="FangSong_GB2312"/>
          <w:sz w:val="32"/>
        </w:rPr>
        <w:t>（</w:t>
      </w:r>
      <w:r>
        <w:rPr>
          <w:rFonts w:hint="eastAsia" w:eastAsia="FangSong_GB2312"/>
          <w:sz w:val="32"/>
        </w:rPr>
        <w:t>镇</w:t>
      </w:r>
      <w:r>
        <w:rPr>
          <w:rFonts w:eastAsia="FangSong_GB2312"/>
          <w:sz w:val="32"/>
        </w:rPr>
        <w:t>）国民经济核算工作。</w:t>
      </w:r>
    </w:p>
    <w:p>
      <w:pPr>
        <w:spacing w:line="560" w:lineRule="atLeast"/>
        <w:ind w:firstLine="640" w:firstLineChars="200"/>
        <w:rPr>
          <w:rFonts w:eastAsia="FangSong_GB2312"/>
          <w:sz w:val="32"/>
        </w:rPr>
      </w:pPr>
      <w:r>
        <w:rPr>
          <w:rFonts w:eastAsia="FangSong_GB2312"/>
          <w:sz w:val="32"/>
        </w:rPr>
        <w:t>（三）会同有关部门拟订重大</w:t>
      </w:r>
      <w:r>
        <w:rPr>
          <w:rFonts w:hint="eastAsia" w:eastAsia="FangSong_GB2312"/>
          <w:sz w:val="32"/>
        </w:rPr>
        <w:t>县</w:t>
      </w:r>
      <w:r>
        <w:rPr>
          <w:rFonts w:eastAsia="FangSong_GB2312"/>
          <w:sz w:val="32"/>
        </w:rPr>
        <w:t>情</w:t>
      </w:r>
      <w:r>
        <w:rPr>
          <w:rFonts w:hint="eastAsia" w:eastAsia="FangSong_GB2312"/>
          <w:sz w:val="32"/>
        </w:rPr>
        <w:t>县</w:t>
      </w:r>
      <w:r>
        <w:rPr>
          <w:rFonts w:eastAsia="FangSong_GB2312"/>
          <w:sz w:val="32"/>
        </w:rPr>
        <w:t>力普查计划、方案，组织实施人口、经济、农业等重大国情国力普查，汇总整理和提供普查的统计数据。</w:t>
      </w:r>
    </w:p>
    <w:p>
      <w:pPr>
        <w:widowControl/>
        <w:spacing w:line="560" w:lineRule="atLeast"/>
        <w:ind w:firstLine="640" w:firstLineChars="200"/>
        <w:rPr>
          <w:rFonts w:eastAsia="FangSong_GB2312"/>
          <w:sz w:val="32"/>
        </w:rPr>
      </w:pPr>
      <w:r>
        <w:rPr>
          <w:rFonts w:eastAsia="FangSong_GB2312"/>
          <w:sz w:val="32"/>
        </w:rPr>
        <w:t>（四）组织实施一、二、三产业相关行业的统计调查，收集、汇总、整理和提供有关调查的统计数据。综合整理和提供旅游、对外经济、交通运输、邮政、教育、卫生、社会保障、公共事业等</w:t>
      </w:r>
      <w:r>
        <w:rPr>
          <w:rFonts w:hint="eastAsia" w:eastAsia="FangSong_GB2312"/>
          <w:sz w:val="32"/>
        </w:rPr>
        <w:t>全县</w:t>
      </w:r>
      <w:r>
        <w:rPr>
          <w:rFonts w:eastAsia="FangSong_GB2312"/>
          <w:sz w:val="32"/>
        </w:rPr>
        <w:t>性基本统计数据。</w:t>
      </w:r>
    </w:p>
    <w:p>
      <w:pPr>
        <w:widowControl/>
        <w:spacing w:line="560" w:lineRule="atLeast"/>
        <w:ind w:firstLine="640" w:firstLineChars="200"/>
        <w:rPr>
          <w:rFonts w:eastAsia="FangSong_GB2312"/>
          <w:sz w:val="32"/>
        </w:rPr>
      </w:pPr>
      <w:r>
        <w:rPr>
          <w:rFonts w:eastAsia="FangSong_GB2312"/>
          <w:sz w:val="32"/>
        </w:rPr>
        <w:t>（五）组织实施能源、投资、科技、人口、社会发展基本情况、环境基本状况等统计调查，收集、汇总、整理和提供有关调查的统计数据。</w:t>
      </w:r>
    </w:p>
    <w:p>
      <w:pPr>
        <w:widowControl/>
        <w:spacing w:line="560" w:lineRule="atLeast"/>
        <w:ind w:firstLine="640" w:firstLineChars="200"/>
        <w:rPr>
          <w:rFonts w:eastAsia="FangSong_GB2312"/>
          <w:sz w:val="32"/>
        </w:rPr>
      </w:pPr>
      <w:r>
        <w:rPr>
          <w:rFonts w:eastAsia="FangSong_GB2312"/>
          <w:sz w:val="32"/>
        </w:rPr>
        <w:t>（六）对国民经济和社会发展等情况进行统计分析、统计预测和统计监督，统一核定、管理</w:t>
      </w:r>
      <w:r>
        <w:rPr>
          <w:rFonts w:hint="eastAsia" w:eastAsia="FangSong_GB2312"/>
          <w:sz w:val="32"/>
        </w:rPr>
        <w:t>全县</w:t>
      </w:r>
      <w:r>
        <w:rPr>
          <w:rFonts w:eastAsia="FangSong_GB2312"/>
          <w:sz w:val="32"/>
        </w:rPr>
        <w:t>性的基本统计资料，定期发布相关统计信息，向</w:t>
      </w:r>
      <w:r>
        <w:rPr>
          <w:rFonts w:hint="eastAsia" w:eastAsia="FangSong_GB2312"/>
          <w:sz w:val="32"/>
        </w:rPr>
        <w:t>县</w:t>
      </w:r>
      <w:r>
        <w:rPr>
          <w:rFonts w:eastAsia="FangSong_GB2312"/>
          <w:sz w:val="32"/>
        </w:rPr>
        <w:t>委、政府及有关部门提供统计信息和咨询建议。</w:t>
      </w:r>
    </w:p>
    <w:p>
      <w:pPr>
        <w:widowControl/>
        <w:spacing w:line="560" w:lineRule="atLeast"/>
        <w:ind w:firstLine="640" w:firstLineChars="200"/>
        <w:rPr>
          <w:rFonts w:eastAsia="FangSong_GB2312"/>
          <w:sz w:val="32"/>
        </w:rPr>
      </w:pPr>
      <w:r>
        <w:rPr>
          <w:rFonts w:eastAsia="FangSong_GB2312"/>
          <w:sz w:val="32"/>
        </w:rPr>
        <w:t>（七）依法审批或备案</w:t>
      </w:r>
      <w:r>
        <w:rPr>
          <w:rFonts w:hint="eastAsia" w:eastAsia="FangSong_GB2312"/>
          <w:sz w:val="32"/>
        </w:rPr>
        <w:t>县</w:t>
      </w:r>
      <w:r>
        <w:rPr>
          <w:rFonts w:eastAsia="FangSong_GB2312"/>
          <w:sz w:val="32"/>
        </w:rPr>
        <w:t>属各部门的统计调查项目或调查方案，指导专业统计基础工作、统计基层业务基础建设，组织建立部门统计报表管理制度，建立健全统计数据质量审核和评估制度，开展对重点统计数据的审核、监控和评估，依法监督检查统计法律法规的实施，依法依规查处统计违法行为。</w:t>
      </w:r>
    </w:p>
    <w:p>
      <w:pPr>
        <w:widowControl/>
        <w:spacing w:line="560" w:lineRule="atLeast"/>
        <w:ind w:firstLine="640" w:firstLineChars="200"/>
        <w:rPr>
          <w:rFonts w:eastAsia="FangSong_GB2312"/>
          <w:sz w:val="32"/>
        </w:rPr>
      </w:pPr>
      <w:r>
        <w:rPr>
          <w:rFonts w:eastAsia="FangSong_GB2312"/>
          <w:sz w:val="32"/>
        </w:rPr>
        <w:t>（八）建立并管理</w:t>
      </w:r>
      <w:r>
        <w:rPr>
          <w:rFonts w:hint="eastAsia" w:eastAsia="FangSong_GB2312"/>
          <w:sz w:val="32"/>
        </w:rPr>
        <w:t>全县</w:t>
      </w:r>
      <w:r>
        <w:rPr>
          <w:rFonts w:eastAsia="FangSong_GB2312"/>
          <w:sz w:val="32"/>
        </w:rPr>
        <w:t>统计信息自动化系统和统计数据库体系，规范各项统计数据库标准和统计数据网络，指导各各</w:t>
      </w:r>
      <w:r>
        <w:rPr>
          <w:rFonts w:hint="eastAsia" w:eastAsia="FangSong_GB2312"/>
          <w:sz w:val="32"/>
        </w:rPr>
        <w:t>乡</w:t>
      </w:r>
      <w:r>
        <w:rPr>
          <w:rFonts w:eastAsia="FangSong_GB2312"/>
          <w:sz w:val="32"/>
        </w:rPr>
        <w:t>（</w:t>
      </w:r>
      <w:r>
        <w:rPr>
          <w:rFonts w:hint="eastAsia" w:eastAsia="FangSong_GB2312"/>
          <w:sz w:val="32"/>
        </w:rPr>
        <w:t>镇</w:t>
      </w:r>
      <w:r>
        <w:rPr>
          <w:rFonts w:eastAsia="FangSong_GB2312"/>
          <w:sz w:val="32"/>
        </w:rPr>
        <w:t>）统计信息化系统建设。</w:t>
      </w:r>
    </w:p>
    <w:p>
      <w:pPr>
        <w:widowControl/>
        <w:spacing w:line="560" w:lineRule="atLeast"/>
        <w:ind w:firstLine="640" w:firstLineChars="200"/>
        <w:rPr>
          <w:rFonts w:eastAsia="FangSong_GB2312"/>
          <w:sz w:val="32"/>
        </w:rPr>
      </w:pPr>
      <w:r>
        <w:rPr>
          <w:rFonts w:eastAsia="FangSong_GB2312"/>
          <w:sz w:val="32"/>
        </w:rPr>
        <w:t>（九）组织指导</w:t>
      </w:r>
      <w:r>
        <w:rPr>
          <w:rFonts w:hint="eastAsia" w:eastAsia="FangSong_GB2312"/>
          <w:sz w:val="32"/>
        </w:rPr>
        <w:t>全县</w:t>
      </w:r>
      <w:r>
        <w:rPr>
          <w:rFonts w:eastAsia="FangSong_GB2312"/>
          <w:sz w:val="32"/>
        </w:rPr>
        <w:t>统计科学研究、统计教育和干部培训工作，开展统计科学交流与合作，协调</w:t>
      </w:r>
      <w:r>
        <w:rPr>
          <w:rFonts w:hint="eastAsia" w:eastAsia="FangSong_GB2312"/>
          <w:sz w:val="32"/>
        </w:rPr>
        <w:t>全县</w:t>
      </w:r>
      <w:r>
        <w:rPr>
          <w:rFonts w:eastAsia="FangSong_GB2312"/>
          <w:sz w:val="32"/>
        </w:rPr>
        <w:t>经济社会统计咨询服务工作。</w:t>
      </w:r>
    </w:p>
    <w:p>
      <w:pPr>
        <w:widowControl/>
        <w:spacing w:line="560" w:lineRule="atLeast"/>
        <w:ind w:firstLine="640" w:firstLineChars="200"/>
        <w:rPr>
          <w:rFonts w:eastAsia="FangSong_GB2312"/>
          <w:sz w:val="32"/>
        </w:rPr>
      </w:pPr>
      <w:r>
        <w:rPr>
          <w:rFonts w:eastAsia="FangSong_GB2312"/>
          <w:sz w:val="32"/>
        </w:rPr>
        <w:t>（十）完成</w:t>
      </w:r>
      <w:r>
        <w:rPr>
          <w:rFonts w:hint="eastAsia" w:eastAsia="FangSong_GB2312"/>
          <w:sz w:val="32"/>
        </w:rPr>
        <w:t>县</w:t>
      </w:r>
      <w:r>
        <w:rPr>
          <w:rFonts w:eastAsia="FangSong_GB2312"/>
          <w:sz w:val="32"/>
        </w:rPr>
        <w:t>委、政府交办的其他任务。</w:t>
      </w:r>
    </w:p>
    <w:p>
      <w:pPr>
        <w:widowControl/>
        <w:spacing w:line="560" w:lineRule="atLeast"/>
        <w:ind w:firstLine="640" w:firstLineChars="200"/>
        <w:rPr>
          <w:sz w:val="32"/>
          <w:szCs w:val="32"/>
        </w:rPr>
      </w:pPr>
      <w:r>
        <w:rPr>
          <w:rFonts w:hint="eastAsia" w:ascii="黑体" w:hAnsi="黑体" w:eastAsia="黑体" w:cs="黑体"/>
          <w:sz w:val="32"/>
        </w:rPr>
        <w:t>第四条</w:t>
      </w:r>
      <w:r>
        <w:rPr>
          <w:rFonts w:hint="eastAsia" w:eastAsia="FangSong_GB2312"/>
          <w:sz w:val="32"/>
        </w:rPr>
        <w:t xml:space="preserve">  县统计局机关行政编制为3名。科级领导职数</w:t>
      </w:r>
      <w:r>
        <w:rPr>
          <w:rFonts w:hint="eastAsia" w:ascii="仿宋_GB2312" w:hAnsi="仿宋_GB2312" w:eastAsia="仿宋_GB2312" w:cs="仿宋_GB2312"/>
          <w:sz w:val="32"/>
          <w:szCs w:val="32"/>
        </w:rPr>
        <w:t>3名。</w:t>
      </w:r>
    </w:p>
    <w:p>
      <w:pPr>
        <w:widowControl/>
        <w:spacing w:line="560" w:lineRule="atLeast"/>
        <w:ind w:firstLine="640" w:firstLineChars="200"/>
        <w:rPr>
          <w:rFonts w:eastAsia="FangSong_GB2312"/>
          <w:sz w:val="32"/>
        </w:rPr>
      </w:pPr>
      <w:r>
        <w:rPr>
          <w:rFonts w:hint="eastAsia" w:ascii="黑体" w:hAnsi="黑体" w:eastAsia="黑体" w:cs="黑体"/>
          <w:sz w:val="32"/>
        </w:rPr>
        <w:t>第五条</w:t>
      </w:r>
      <w:r>
        <w:rPr>
          <w:rFonts w:hint="eastAsia" w:eastAsia="FangSong_GB2312"/>
          <w:sz w:val="32"/>
        </w:rPr>
        <w:t xml:space="preserve">  县统计局所属事业单位的设置、职责和编制事项另行规定。</w:t>
      </w:r>
    </w:p>
    <w:p>
      <w:pPr>
        <w:widowControl/>
        <w:spacing w:line="560" w:lineRule="atLeast"/>
        <w:ind w:firstLine="640" w:firstLineChars="200"/>
        <w:rPr>
          <w:rFonts w:eastAsia="FangSong_GB2312"/>
          <w:sz w:val="32"/>
        </w:rPr>
      </w:pPr>
      <w:r>
        <w:rPr>
          <w:rFonts w:hint="eastAsia" w:ascii="黑体" w:hAnsi="黑体" w:eastAsia="黑体" w:cs="黑体"/>
          <w:sz w:val="32"/>
        </w:rPr>
        <w:t>第六条</w:t>
      </w:r>
      <w:r>
        <w:rPr>
          <w:rFonts w:hint="eastAsia" w:eastAsia="FangSong_GB2312"/>
          <w:sz w:val="32"/>
        </w:rPr>
        <w:t xml:space="preserve">  本规定由县委、政府负责解释，具体解释工作由县委机构编制委员会办公室承担，其调整由县委机构编制委员会办公室按规定程序办理。</w:t>
      </w:r>
    </w:p>
    <w:p>
      <w:pPr>
        <w:spacing w:line="560" w:lineRule="atLeast"/>
        <w:ind w:firstLine="640" w:firstLineChars="200"/>
        <w:rPr>
          <w:rFonts w:eastAsia="FangSong_GB2312"/>
          <w:sz w:val="32"/>
        </w:rPr>
      </w:pPr>
      <w:r>
        <w:rPr>
          <w:rFonts w:hint="eastAsia" w:ascii="黑体" w:hAnsi="黑体" w:eastAsia="黑体" w:cs="黑体"/>
          <w:sz w:val="32"/>
        </w:rPr>
        <w:t>第七条</w:t>
      </w:r>
      <w:r>
        <w:rPr>
          <w:rFonts w:hint="eastAsia" w:eastAsia="FangSong_GB2312"/>
          <w:sz w:val="32"/>
        </w:rPr>
        <w:t xml:space="preserve">  本规定自2019年8月30日起施行</w:t>
      </w:r>
    </w:p>
    <w:p>
      <w:pPr>
        <w:pStyle w:val="2"/>
        <w:spacing w:line="560" w:lineRule="atLeast"/>
        <w:ind w:firstLine="640" w:firstLineChars="200"/>
        <w:rPr>
          <w:rFonts w:ascii="Times New Roman" w:hAnsi="Times New Roman" w:eastAsia="FangSong_GB2312"/>
          <w:kern w:val="2"/>
        </w:rPr>
      </w:pPr>
      <w:r>
        <w:rPr>
          <w:rFonts w:hint="eastAsia" w:ascii="黑体" w:hAnsi="黑体"/>
          <w:szCs w:val="32"/>
        </w:rPr>
        <w:t>二、社会经济调查队主要职能</w:t>
      </w:r>
    </w:p>
    <w:p>
      <w:pPr>
        <w:pStyle w:val="2"/>
        <w:spacing w:line="560" w:lineRule="atLeast"/>
        <w:ind w:firstLine="640" w:firstLineChars="200"/>
      </w:pPr>
      <w:r>
        <w:rPr>
          <w:rFonts w:hint="eastAsia" w:ascii="Times New Roman" w:hAnsi="Times New Roman" w:eastAsia="FangSong_GB2312"/>
          <w:kern w:val="2"/>
        </w:rPr>
        <w:t>全面承担所在县（区）城镇居民收支调查，城市社会经济调查，城乡物价调查和城市经济规模调查等工作；准确、及时、全面地搜集，整理和上报城乡社会调查、城乡住户调查、价格统计数据；组织开展产品出产价格调查及原材料价格指数、建筑业价格指数调查；开展城市社会经济预测、市场需求预测、物价变动预测、居民收入预测，对调查数据进行统计分析，并提供调查资料和咨询服务；检查评估统计数据质量，开展统计分析；负责对基层记账员、辅助调查员进行业务指导培训和抽样调查网点的管理；完成县（区）统计局交办的其他工作。</w:t>
      </w:r>
    </w:p>
    <w:p>
      <w:pPr>
        <w:spacing w:line="560" w:lineRule="atLeast"/>
        <w:ind w:firstLine="640" w:firstLineChars="200"/>
        <w:rPr>
          <w:rFonts w:ascii="黑体" w:hAnsi="黑体" w:eastAsia="黑体"/>
          <w:sz w:val="32"/>
          <w:szCs w:val="32"/>
        </w:rPr>
      </w:pPr>
      <w:r>
        <w:rPr>
          <w:rFonts w:hint="eastAsia" w:ascii="黑体" w:hAnsi="黑体" w:eastAsia="黑体"/>
          <w:sz w:val="32"/>
          <w:szCs w:val="32"/>
        </w:rPr>
        <w:t>二、部门预算单位构成</w:t>
      </w:r>
    </w:p>
    <w:p>
      <w:pPr>
        <w:spacing w:line="560" w:lineRule="atLeast"/>
        <w:ind w:firstLine="640" w:firstLineChars="200"/>
        <w:rPr>
          <w:rFonts w:ascii="方正小标宋简体" w:hAnsi="仿宋" w:eastAsia="方正小标宋简体"/>
          <w:sz w:val="44"/>
          <w:szCs w:val="44"/>
        </w:rPr>
      </w:pPr>
      <w:r>
        <w:rPr>
          <w:rFonts w:hint="eastAsia" w:ascii="仿宋_GB2312" w:hAnsi="仿宋_GB2312" w:eastAsia="仿宋_GB2312" w:cs="仿宋_GB2312"/>
          <w:sz w:val="32"/>
          <w:szCs w:val="32"/>
        </w:rPr>
        <w:t>察隅县统计局(察隅县社会经济调查队）</w:t>
      </w:r>
      <w:r>
        <w:rPr>
          <w:rFonts w:hint="eastAsia" w:ascii="仿宋_GB2312" w:eastAsia="仿宋_GB2312"/>
          <w:sz w:val="32"/>
          <w:szCs w:val="32"/>
        </w:rPr>
        <w:t>为正科级建制，县人民政府工作部门。</w:t>
      </w:r>
    </w:p>
    <w:p>
      <w:pPr>
        <w:pStyle w:val="2"/>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第二部分  察隅县统计局2021年度预算明细表（表格详见附件）</w:t>
      </w:r>
    </w:p>
    <w:p>
      <w:pPr>
        <w:spacing w:line="560" w:lineRule="exact"/>
        <w:jc w:val="center"/>
        <w:rPr>
          <w:rFonts w:ascii="黑体" w:hAnsi="黑体" w:eastAsia="黑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第三部分  察隅县统计局2021年度部门预算数据分析</w:t>
      </w:r>
    </w:p>
    <w:p>
      <w:pPr>
        <w:spacing w:line="560" w:lineRule="exact"/>
        <w:jc w:val="center"/>
        <w:rPr>
          <w:rFonts w:ascii="黑体" w:hAnsi="黑体" w:eastAsia="黑体"/>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一、2021年部门收支总表的说明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2021年收支总预算184.54万元。收入主要是一般公共预算拨款收入184.54万元；占100%。支出包括：一般公共服务支出184.54万元，占100%。收支平衡。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二、2021年度部门收入总表的说明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收入预算184.54万元，其中：一般公共预算拨款收入184.54万元，占100%。总收入预算较2020年减少32.14万元，下降14.83%，主要原因为今年年初无预算专项普查项目经费。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三、2021年部门支出总表的说明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2021年支出预算184.54万元，基本支出184.54万元，占100%；主要用于人员工资福利及公用经费。总支出预算较2020年减少32.14万元，下降14.83%，主要原因为今年年初无预算专项普查项目经费。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四、2021年财政拨款收支总表的说明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2021年收支总预算184.54万元。收入主要是一般公共预算拨款收入184.54万元；占100%。支出包括：一般公共服务支出184.54万元，占100%。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五、2021年一般公共预算支出表的说明</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（一）一般公共预算当年拨款规模变化情况。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2021年一般公共预算当年拨款184.54万元,比2020年执行数减少13.68万元，较2020年下降6.9%。主要原因为今年年初无预算专项普查项目经费。</w:t>
      </w:r>
    </w:p>
    <w:p>
      <w:pPr>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（二）一般公共预算当年拨款结构情况。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一般公共服务支出184.54万元，占100%。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六、2021年一般公共预算基本支出表的说明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2021年一般公共预算基本支出184.54万元，其中：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人员经费169.32万元，主要包括：工资性支出（基本工资、津贴补贴、奖金、机关事业单位养老保险缴费、职工基本医疗保险缴费、公务员医疗补助、其他社会保险缴费、其他工资福利支出、住房公积金）。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公用经费15.22万元，主要包括：商品和服务支出（办公费、印刷费、水费、电费、邮电费、取暖费、差旅费、维修(护)费、会议费、培训费、公务接待费、公务用车运行维护费、其他商品和服务支出）。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七、2021年度一般公共预算“三公”经费预算情况说明</w:t>
      </w:r>
    </w:p>
    <w:p>
      <w:pPr>
        <w:spacing w:line="560" w:lineRule="exact"/>
        <w:ind w:firstLine="640" w:firstLineChars="200"/>
        <w:rPr>
          <w:rFonts w:ascii="仿宋_GB2312" w:hAnsi="黑体" w:eastAsia="仿宋_GB2312"/>
          <w:snapToGrid w:val="0"/>
          <w:w w:val="95"/>
          <w:sz w:val="32"/>
          <w:szCs w:val="32"/>
        </w:rPr>
      </w:pPr>
      <w:r>
        <w:rPr>
          <w:rFonts w:hint="eastAsia" w:ascii="仿宋_GB2312" w:hAnsi="仿宋" w:eastAsia="仿宋_GB2312"/>
          <w:sz w:val="32"/>
          <w:szCs w:val="32"/>
        </w:rPr>
        <w:t>2021年“三公”经费预算数为3.28万元，与2020年度预算持平。</w:t>
      </w:r>
    </w:p>
    <w:p>
      <w:pPr>
        <w:widowControl/>
        <w:adjustRightInd w:val="0"/>
        <w:snapToGrid w:val="0"/>
        <w:spacing w:line="560" w:lineRule="exact"/>
        <w:ind w:firstLine="605" w:firstLineChars="200"/>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黑体" w:eastAsia="仿宋_GB2312"/>
          <w:snapToGrid w:val="0"/>
          <w:w w:val="95"/>
          <w:sz w:val="32"/>
          <w:szCs w:val="32"/>
        </w:rPr>
        <w:t>2021年预算数为0万元。为进一步规范因公出国（境）费用管理，我县因公出国（境）费用按照零基预算原则，因此因公出国（境）费用预算为零。</w:t>
      </w:r>
    </w:p>
    <w:p>
      <w:pPr>
        <w:widowControl/>
        <w:adjustRightInd w:val="0"/>
        <w:snapToGrid w:val="0"/>
        <w:spacing w:line="560" w:lineRule="exact"/>
        <w:ind w:firstLine="605" w:firstLineChars="200"/>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黑体" w:eastAsia="仿宋_GB2312"/>
          <w:snapToGrid w:val="0"/>
          <w:w w:val="95"/>
          <w:sz w:val="32"/>
          <w:szCs w:val="32"/>
        </w:rPr>
        <w:t>2021年预算数1.92万元。其中：</w:t>
      </w:r>
    </w:p>
    <w:p>
      <w:pPr>
        <w:spacing w:line="560" w:lineRule="exact"/>
        <w:ind w:firstLine="605" w:firstLineChars="200"/>
        <w:rPr>
          <w:rFonts w:ascii="仿宋_GB2312" w:hAnsi="黑体" w:eastAsia="仿宋_GB2312"/>
          <w:snapToGrid w:val="0"/>
          <w:w w:val="95"/>
          <w:sz w:val="32"/>
          <w:szCs w:val="32"/>
        </w:rPr>
      </w:pPr>
      <w:r>
        <w:rPr>
          <w:rFonts w:hint="eastAsia" w:ascii="仿宋_GB2312" w:hAnsi="黑体" w:eastAsia="仿宋_GB2312"/>
          <w:snapToGrid w:val="0"/>
          <w:w w:val="95"/>
          <w:sz w:val="32"/>
          <w:szCs w:val="32"/>
        </w:rPr>
        <w:t>（1）公务用车购置费。2021年公务用车购置费预算数为0.00万元（公务用车购置严格按照我县车辆管理及厉行节约有关要求实行总额控制），与2020年预算数持平。</w:t>
      </w:r>
    </w:p>
    <w:p>
      <w:pPr>
        <w:spacing w:line="560" w:lineRule="exact"/>
        <w:ind w:firstLine="605" w:firstLineChars="200"/>
        <w:rPr>
          <w:rFonts w:ascii="仿宋_GB2312" w:hAnsi="黑体" w:eastAsia="仿宋_GB2312"/>
          <w:snapToGrid w:val="0"/>
          <w:w w:val="95"/>
          <w:sz w:val="32"/>
          <w:szCs w:val="32"/>
        </w:rPr>
      </w:pPr>
      <w:r>
        <w:rPr>
          <w:rFonts w:hint="eastAsia" w:ascii="仿宋_GB2312" w:hAnsi="黑体" w:eastAsia="仿宋_GB2312"/>
          <w:snapToGrid w:val="0"/>
          <w:w w:val="95"/>
          <w:sz w:val="32"/>
          <w:szCs w:val="32"/>
        </w:rPr>
        <w:t>（2）公务用车运行费。2021年预算数1.92万元。</w:t>
      </w:r>
      <w:r>
        <w:rPr>
          <w:rFonts w:hint="eastAsia" w:ascii="仿宋_GB2312" w:hAnsi="仿宋" w:eastAsia="仿宋_GB2312"/>
          <w:sz w:val="32"/>
          <w:szCs w:val="32"/>
        </w:rPr>
        <w:t>，与2020年度预算持平。</w:t>
      </w:r>
      <w:r>
        <w:rPr>
          <w:rFonts w:hint="eastAsia" w:ascii="仿宋_GB2312" w:hAnsi="黑体" w:eastAsia="仿宋_GB2312"/>
          <w:snapToGrid w:val="0"/>
          <w:w w:val="95"/>
          <w:sz w:val="32"/>
          <w:szCs w:val="32"/>
        </w:rPr>
        <w:t>单位公务用车实有量1辆，保有量1辆。</w:t>
      </w:r>
    </w:p>
    <w:p>
      <w:pPr>
        <w:spacing w:line="560" w:lineRule="exact"/>
        <w:ind w:firstLine="605" w:firstLineChars="200"/>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3.公务接待费。</w:t>
      </w:r>
      <w:r>
        <w:rPr>
          <w:rFonts w:hint="eastAsia" w:ascii="仿宋_GB2312" w:hAnsi="黑体" w:eastAsia="仿宋_GB2312"/>
          <w:snapToGrid w:val="0"/>
          <w:w w:val="95"/>
          <w:sz w:val="32"/>
          <w:szCs w:val="32"/>
        </w:rPr>
        <w:t>2021年预算数1.36万元。较2020年度预算</w:t>
      </w:r>
      <w:r>
        <w:rPr>
          <w:rFonts w:hint="eastAsia" w:ascii="仿宋_GB2312" w:hAnsi="黑体" w:eastAsia="仿宋_GB2312"/>
          <w:snapToGrid w:val="0"/>
          <w:color w:val="000000"/>
          <w:w w:val="95"/>
          <w:sz w:val="32"/>
          <w:szCs w:val="32"/>
        </w:rPr>
        <w:t>持平。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八、2021年度政府性基金预算支出情况说明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本部门2021年度没有使用政府性基金安排的支出。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（一）机关运行经费安排使用情况说明。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本部门2021年度机关运行经费财政拨款预算</w:t>
      </w:r>
      <w:r>
        <w:rPr>
          <w:rFonts w:hint="eastAsia" w:ascii="仿宋_GB2312" w:hAnsi="Calibri" w:eastAsia="仿宋_GB2312" w:cs="仿宋_GB2312"/>
          <w:kern w:val="0"/>
          <w:sz w:val="32"/>
          <w:szCs w:val="32"/>
        </w:rPr>
        <w:t>15.22</w:t>
      </w:r>
      <w:r>
        <w:rPr>
          <w:rFonts w:hint="eastAsia" w:ascii="仿宋_GB2312" w:hAnsi="仿宋" w:eastAsia="仿宋_GB2312"/>
          <w:sz w:val="32"/>
          <w:szCs w:val="32"/>
        </w:rPr>
        <w:t>万元，比2020年预算减少0.71万元，降低4.46%。</w:t>
      </w:r>
    </w:p>
    <w:p>
      <w:pPr>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（二）政府采购情况说明。</w:t>
      </w:r>
    </w:p>
    <w:p>
      <w:pPr>
        <w:autoSpaceDE w:val="0"/>
        <w:autoSpaceDN w:val="0"/>
        <w:adjustRightInd w:val="0"/>
        <w:spacing w:line="560" w:lineRule="exact"/>
        <w:ind w:firstLine="640" w:firstLineChars="200"/>
        <w:jc w:val="left"/>
        <w:rPr>
          <w:rFonts w:ascii="仿宋_GB2312" w:hAnsi="Calibri" w:eastAsia="仿宋_GB2312" w:cs="仿宋_GB2312"/>
          <w:kern w:val="0"/>
          <w:sz w:val="32"/>
          <w:szCs w:val="32"/>
        </w:rPr>
      </w:pPr>
      <w:r>
        <w:rPr>
          <w:rFonts w:hint="eastAsia" w:ascii="仿宋_GB2312" w:hAnsi="仿宋" w:eastAsia="仿宋_GB2312"/>
          <w:sz w:val="32"/>
          <w:szCs w:val="32"/>
        </w:rPr>
        <w:t>本部门2021年度政府采购预算总额</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（三）国有资产占有使用情况说明。</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截至2021年</w:t>
      </w:r>
      <w:r>
        <w:rPr>
          <w:rFonts w:hint="eastAsia" w:ascii="仿宋_GB2312" w:hAnsi="Calibri" w:eastAsia="仿宋_GB2312" w:cs="仿宋_GB2312"/>
          <w:kern w:val="0"/>
          <w:sz w:val="32"/>
          <w:szCs w:val="32"/>
        </w:rPr>
        <w:t>3</w:t>
      </w:r>
      <w:r>
        <w:rPr>
          <w:rFonts w:hint="eastAsia" w:ascii="仿宋_GB2312" w:hAnsi="仿宋" w:eastAsia="仿宋_GB2312"/>
          <w:sz w:val="32"/>
          <w:szCs w:val="32"/>
        </w:rPr>
        <w:t>月底，本部门及所属各预算单位共有车辆1</w:t>
      </w:r>
      <w:r>
        <w:rPr>
          <w:rFonts w:hint="eastAsia" w:ascii="仿宋_GB2312" w:hAnsi="Calibri" w:eastAsia="仿宋_GB2312" w:cs="仿宋_GB2312"/>
          <w:kern w:val="0"/>
          <w:sz w:val="32"/>
          <w:szCs w:val="32"/>
        </w:rPr>
        <w:t xml:space="preserve">   </w:t>
      </w:r>
      <w:r>
        <w:rPr>
          <w:rFonts w:hint="eastAsia" w:ascii="仿宋_GB2312" w:hAnsi="仿宋" w:eastAsia="仿宋_GB2312"/>
          <w:sz w:val="32"/>
          <w:szCs w:val="32"/>
        </w:rPr>
        <w:t>辆，其中，</w:t>
      </w:r>
      <w:r>
        <w:rPr>
          <w:rFonts w:hint="eastAsia" w:ascii="仿宋_GB2312" w:hAnsi="Calibri" w:eastAsia="仿宋_GB2312" w:cs="仿宋_GB2312"/>
          <w:kern w:val="0"/>
          <w:sz w:val="32"/>
          <w:szCs w:val="32"/>
        </w:rPr>
        <w:t>科</w:t>
      </w:r>
      <w:r>
        <w:rPr>
          <w:rFonts w:hint="eastAsia" w:ascii="仿宋_GB2312" w:hAnsi="仿宋" w:eastAsia="仿宋_GB2312"/>
          <w:sz w:val="32"/>
          <w:szCs w:val="32"/>
        </w:rPr>
        <w:t>级领导干部用车（含在职和离退休部级干部用车）</w:t>
      </w:r>
      <w:r>
        <w:rPr>
          <w:rFonts w:hint="eastAsia" w:ascii="仿宋_GB2312" w:hAnsi="Calibri" w:eastAsia="仿宋_GB2312" w:cs="仿宋_GB2312"/>
          <w:kern w:val="0"/>
          <w:sz w:val="32"/>
          <w:szCs w:val="32"/>
        </w:rPr>
        <w:t>1</w:t>
      </w:r>
      <w:r>
        <w:rPr>
          <w:rFonts w:hint="eastAsia" w:ascii="仿宋_GB2312" w:hAnsi="仿宋" w:eastAsia="仿宋_GB2312"/>
          <w:sz w:val="32"/>
          <w:szCs w:val="32"/>
        </w:rPr>
        <w:t>辆。单位价值50万元以上通用设备</w:t>
      </w:r>
      <w:r>
        <w:rPr>
          <w:rFonts w:hint="eastAsia" w:ascii="仿宋_GB2312" w:hAnsi="Calibri" w:eastAsia="仿宋_GB2312" w:cs="仿宋_GB2312"/>
          <w:kern w:val="0"/>
          <w:sz w:val="32"/>
          <w:szCs w:val="32"/>
        </w:rPr>
        <w:t>0</w:t>
      </w:r>
      <w:r>
        <w:rPr>
          <w:rFonts w:hint="eastAsia" w:ascii="仿宋_GB2312" w:hAnsi="仿宋" w:eastAsia="仿宋_GB2312"/>
          <w:sz w:val="32"/>
          <w:szCs w:val="32"/>
        </w:rPr>
        <w:t>台（套），单位价值100万元以上专用设备</w:t>
      </w:r>
      <w:r>
        <w:rPr>
          <w:rFonts w:hint="eastAsia" w:ascii="仿宋_GB2312" w:hAnsi="Calibri" w:eastAsia="仿宋_GB2312" w:cs="仿宋_GB2312"/>
          <w:kern w:val="0"/>
          <w:sz w:val="32"/>
          <w:szCs w:val="32"/>
        </w:rPr>
        <w:t>0</w:t>
      </w:r>
      <w:r>
        <w:rPr>
          <w:rFonts w:hint="eastAsia" w:ascii="仿宋_GB2312" w:hAnsi="仿宋" w:eastAsia="仿宋_GB2312"/>
          <w:sz w:val="32"/>
          <w:szCs w:val="32"/>
        </w:rPr>
        <w:t>台（套）。</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（四）2021年预算绩效目标管理情况。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2021年实现财政支出绩效目标管理全覆盖，实行绩效目标管理</w:t>
      </w:r>
      <w:r>
        <w:rPr>
          <w:rFonts w:hint="eastAsia" w:ascii="仿宋_GB2312" w:hAnsi="仿宋_GB2312" w:eastAsia="仿宋_GB2312" w:cs="仿宋_GB2312"/>
          <w:snapToGrid w:val="0"/>
          <w:w w:val="95"/>
          <w:sz w:val="32"/>
          <w:szCs w:val="32"/>
        </w:rPr>
        <w:t>0</w:t>
      </w:r>
      <w:r>
        <w:rPr>
          <w:rFonts w:hint="eastAsia" w:ascii="仿宋_GB2312" w:hAnsi="仿宋" w:eastAsia="仿宋_GB2312"/>
          <w:sz w:val="32"/>
          <w:szCs w:val="32"/>
        </w:rPr>
        <w:t>个，资金</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万元，其中：中央转移支付资金</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万元，地方资金</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万元。无政府重大决策和决策部署、影响力大且社会关注度高的项目。</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（五）扶贫资金管理使用情况及绩效目标情况说明。</w:t>
      </w:r>
    </w:p>
    <w:p>
      <w:pPr>
        <w:widowControl/>
        <w:adjustRightInd w:val="0"/>
        <w:snapToGrid w:val="0"/>
        <w:spacing w:line="560" w:lineRule="exact"/>
        <w:ind w:firstLine="605" w:firstLineChars="200"/>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2021年度无扶贫资金预算安排。</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（六）政府债务情况。</w:t>
      </w:r>
    </w:p>
    <w:p>
      <w:pPr>
        <w:spacing w:line="560" w:lineRule="exact"/>
        <w:ind w:firstLine="640" w:firstLineChars="200"/>
        <w:rPr>
          <w:rFonts w:ascii="仿宋" w:hAnsi="仿宋" w:eastAsia="仿宋"/>
          <w:sz w:val="32"/>
          <w:szCs w:val="32"/>
        </w:rPr>
      </w:pPr>
      <w:r>
        <w:rPr>
          <w:rFonts w:hint="eastAsia" w:ascii="仿宋_GB2312" w:hAnsi="仿宋" w:eastAsia="仿宋_GB2312"/>
          <w:sz w:val="32"/>
          <w:szCs w:val="32"/>
        </w:rPr>
        <w:t>本单位无举借债务情况。</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第四部分  名词解释</w:t>
      </w:r>
    </w:p>
    <w:p>
      <w:pPr>
        <w:spacing w:line="560" w:lineRule="exact"/>
        <w:rPr>
          <w:rFonts w:ascii="仿宋" w:hAnsi="仿宋" w:eastAsia="仿宋"/>
          <w:sz w:val="32"/>
          <w:szCs w:val="32"/>
        </w:rPr>
      </w:pPr>
    </w:p>
    <w:p>
      <w:pPr>
        <w:spacing w:line="560" w:lineRule="exact"/>
        <w:ind w:firstLine="640" w:firstLineChars="200"/>
        <w:rPr>
          <w:rFonts w:ascii="仿宋_GB2312" w:hAnsi="宋体" w:eastAsia="仿宋_GB2312" w:cs="宋体"/>
          <w:sz w:val="32"/>
          <w:szCs w:val="32"/>
        </w:rPr>
      </w:pPr>
      <w:r>
        <w:rPr>
          <w:rFonts w:hint="eastAsia" w:ascii="黑体" w:hAnsi="黑体" w:eastAsia="黑体"/>
          <w:sz w:val="32"/>
          <w:szCs w:val="32"/>
        </w:rPr>
        <w:t>一、一般公共预算拨款收入：</w:t>
      </w:r>
      <w:r>
        <w:rPr>
          <w:rFonts w:hint="eastAsia" w:ascii="仿宋_GB2312" w:hAnsi="宋体" w:eastAsia="仿宋_GB2312" w:cs="宋体"/>
          <w:sz w:val="32"/>
          <w:szCs w:val="32"/>
        </w:rPr>
        <w:t>指本级财政当年拨付的资金。</w:t>
      </w:r>
    </w:p>
    <w:p>
      <w:pPr>
        <w:spacing w:line="560" w:lineRule="exact"/>
        <w:ind w:firstLine="640" w:firstLineChars="200"/>
        <w:rPr>
          <w:rFonts w:ascii="仿宋_GB2312" w:hAnsi="仿宋" w:eastAsia="仿宋_GB2312" w:cs="黑体"/>
          <w:sz w:val="32"/>
          <w:szCs w:val="32"/>
        </w:rPr>
      </w:pPr>
      <w:r>
        <w:rPr>
          <w:rFonts w:hint="eastAsia" w:ascii="黑体" w:hAnsi="黑体" w:eastAsia="黑体"/>
          <w:sz w:val="32"/>
          <w:szCs w:val="32"/>
        </w:rPr>
        <w:t>二、其他收入：</w:t>
      </w:r>
      <w:r>
        <w:rPr>
          <w:rFonts w:hint="eastAsia" w:ascii="仿宋_GB2312" w:hAnsi="仿宋" w:eastAsia="仿宋_GB2312"/>
          <w:sz w:val="32"/>
          <w:szCs w:val="32"/>
        </w:rPr>
        <w:t>指除上述“一般公共预算拨款收入”、“事业收入”、“事业单位经营收入”等以外的收入。主要是按规定动用的售房收入、存款利息收入等。</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三、上年结转：</w:t>
      </w:r>
      <w:r>
        <w:rPr>
          <w:rFonts w:hint="eastAsia" w:ascii="仿宋_GB2312" w:hAnsi="仿宋" w:eastAsia="仿宋_GB2312"/>
          <w:sz w:val="32"/>
          <w:szCs w:val="32"/>
        </w:rPr>
        <w:t>指以前年度安排、结转到本年仍按原规定用途继续使用的资金。</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四、一般公共服务支出：</w:t>
      </w:r>
      <w:r>
        <w:rPr>
          <w:rFonts w:hint="eastAsia" w:ascii="仿宋_GB2312" w:hAnsi="仿宋" w:eastAsia="仿宋_GB2312"/>
          <w:sz w:val="32"/>
          <w:szCs w:val="32"/>
        </w:rPr>
        <w:t>反应政府提供一般公共服务的支出。</w:t>
      </w:r>
    </w:p>
    <w:p>
      <w:pPr>
        <w:autoSpaceDE w:val="0"/>
        <w:autoSpaceDN w:val="0"/>
        <w:spacing w:line="560" w:lineRule="exact"/>
        <w:ind w:firstLine="640" w:firstLineChars="200"/>
        <w:rPr>
          <w:rFonts w:ascii="仿宋_GB2312" w:hAnsi="Calibri" w:eastAsia="仿宋_GB2312" w:cs="仿宋_GB2312"/>
          <w:sz w:val="32"/>
          <w:szCs w:val="32"/>
        </w:rPr>
      </w:pPr>
      <w:r>
        <w:rPr>
          <w:rFonts w:hint="eastAsia" w:ascii="黑体" w:hAnsi="黑体" w:eastAsia="黑体"/>
          <w:sz w:val="32"/>
          <w:szCs w:val="32"/>
        </w:rPr>
        <w:t>五、基本支出：</w:t>
      </w:r>
      <w:r>
        <w:rPr>
          <w:rFonts w:hint="eastAsia" w:ascii="仿宋_GB2312" w:hAnsi="仿宋" w:eastAsia="仿宋_GB2312"/>
          <w:sz w:val="32"/>
          <w:szCs w:val="32"/>
        </w:rPr>
        <w:t>指为保障机构正常运转、完成日常工作任务而发生的人员支出和公用支出。</w:t>
      </w:r>
    </w:p>
    <w:p>
      <w:pPr>
        <w:autoSpaceDE w:val="0"/>
        <w:autoSpaceDN w:val="0"/>
        <w:spacing w:line="560" w:lineRule="exact"/>
        <w:ind w:firstLine="640" w:firstLineChars="200"/>
        <w:rPr>
          <w:rFonts w:ascii="仿宋_GB2312" w:hAnsi="仿宋" w:eastAsia="仿宋_GB2312" w:cs="黑体"/>
          <w:sz w:val="32"/>
          <w:szCs w:val="32"/>
        </w:rPr>
      </w:pPr>
      <w:r>
        <w:rPr>
          <w:rFonts w:hint="eastAsia" w:ascii="黑体" w:hAnsi="黑体" w:eastAsia="黑体"/>
          <w:sz w:val="32"/>
          <w:szCs w:val="32"/>
        </w:rPr>
        <w:t>六、项目支出：</w:t>
      </w:r>
      <w:r>
        <w:rPr>
          <w:rFonts w:hint="eastAsia" w:ascii="仿宋_GB2312" w:hAnsi="仿宋" w:eastAsia="仿宋_GB2312"/>
          <w:sz w:val="32"/>
          <w:szCs w:val="32"/>
        </w:rPr>
        <w:t>指在基本支出之外为完成特定行政任务或事业发展目标所发生的支出。</w:t>
      </w:r>
    </w:p>
    <w:p>
      <w:pPr>
        <w:autoSpaceDE w:val="0"/>
        <w:autoSpaceDN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七、住房保障支出：</w:t>
      </w:r>
      <w:r>
        <w:rPr>
          <w:rFonts w:hint="eastAsia" w:ascii="仿宋_GB2312" w:hAnsi="仿宋" w:eastAsia="仿宋_GB2312"/>
          <w:sz w:val="32"/>
          <w:szCs w:val="32"/>
        </w:rPr>
        <w:t>集中反映政府用于住房方面的支出。</w:t>
      </w:r>
    </w:p>
    <w:p>
      <w:pPr>
        <w:autoSpaceDE w:val="0"/>
        <w:autoSpaceDN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八、机关运行经费：</w:t>
      </w:r>
      <w:r>
        <w:rPr>
          <w:rFonts w:hint="eastAsia" w:ascii="仿宋_GB2312" w:hAnsi="仿宋"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line="560" w:lineRule="exact"/>
        <w:ind w:firstLine="640" w:firstLineChars="200"/>
        <w:rPr>
          <w:rFonts w:ascii="仿宋_GB2312" w:hAnsi="宋体" w:eastAsia="仿宋_GB2312"/>
          <w:sz w:val="32"/>
          <w:szCs w:val="32"/>
        </w:rPr>
      </w:pPr>
      <w:r>
        <w:rPr>
          <w:rFonts w:hint="eastAsia" w:ascii="黑体" w:hAnsi="黑体" w:eastAsia="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十、重点项目：</w:t>
      </w:r>
      <w:r>
        <w:rPr>
          <w:rFonts w:hint="eastAsia" w:ascii="仿宋_GB2312" w:hAnsi="仿宋" w:eastAsia="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560" w:lineRule="exact"/>
        <w:ind w:firstLine="440" w:firstLineChars="200"/>
        <w:rPr>
          <w:rFonts w:ascii="Tahoma" w:hAnsi="Tahoma" w:eastAsia="微软雅黑"/>
          <w:sz w:val="22"/>
          <w:szCs w:val="22"/>
        </w:rPr>
      </w:pPr>
    </w:p>
    <w:p>
      <w:pPr>
        <w:rPr>
          <w:rFonts w:ascii="仿宋_GB2312" w:hAnsi="Calibri" w:eastAsia="仿宋_GB2312" w:cs="仿宋_GB2312"/>
          <w:kern w:val="0"/>
          <w:sz w:val="32"/>
          <w:szCs w:val="32"/>
        </w:rPr>
      </w:pPr>
    </w:p>
    <w:sectPr>
      <w:footerReference r:id="rId6"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0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shape id="_x0000_s4097"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eastAsia="宋体"/>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- 8 -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Calibri" w:hAnsi="Calibri" w:eastAsia="黑体"/>
      <w:kern w:val="44"/>
      <w:sz w:val="32"/>
    </w:rPr>
  </w:style>
  <w:style w:type="character" w:default="1" w:styleId="6">
    <w:name w:val="Default Paragraph Font"/>
    <w:semiHidden/>
    <w:unhideWhenUsed/>
    <w:uiPriority w:val="1"/>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7">
    <w:name w:val="page number"/>
    <w:basedOn w:val="6"/>
    <w:qFormat/>
    <w:uiPriority w:val="0"/>
    <w:rPr/>
  </w:style>
  <w:style w:type="paragraph" w:customStyle="1" w:styleId="8">
    <w:name w:val="List Paragraph"/>
    <w:basedOn w:val="1"/>
    <w:qFormat/>
    <w:uiPriority w:val="34"/>
    <w:pPr>
      <w:ind w:firstLine="420" w:firstLineChars="200"/>
    </w:p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594</Words>
  <Characters>3386</Characters>
  <Lines>28</Lines>
  <Paragraphs>7</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2023-04-20T08:06:55Z</dcterms:modified>
  <dc:title>察隅县统计局2021年度部门预算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E8C86358A5244BB38BA89E4FAA30CE66</vt:lpwstr>
  </property>
</Properties>
</file>