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_GB2312" w:eastAsia="黑体" w:cs="仿宋_GB2312"/>
          <w:sz w:val="72"/>
          <w:szCs w:val="72"/>
        </w:rPr>
      </w:pPr>
    </w:p>
    <w:p>
      <w:pPr>
        <w:rPr>
          <w:rFonts w:ascii="黑体" w:hAnsi="仿宋_GB2312" w:eastAsia="黑体" w:cs="仿宋_GB2312"/>
          <w:sz w:val="52"/>
          <w:szCs w:val="52"/>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察隅县政法委</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仿宋_GB2312" w:eastAsia="黑体" w:cs="仿宋_GB2312"/>
          <w:sz w:val="36"/>
          <w:szCs w:val="36"/>
        </w:rPr>
      </w:pP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第一部分 察隅县政法委概况</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一、部门职责</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二、机构设置</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 xml:space="preserve">第二部分 察隅县政法委2021年度部门决算明细表 </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第三部分 察隅县政法委2021年度部门决算数据说明</w:t>
      </w:r>
    </w:p>
    <w:p>
      <w:pPr>
        <w:spacing w:line="560" w:lineRule="exact"/>
        <w:jc w:val="left"/>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八、政府性基金预算财政拨款收入支出决算情况说明</w:t>
      </w:r>
    </w:p>
    <w:p>
      <w:pPr>
        <w:spacing w:line="560" w:lineRule="exact"/>
        <w:jc w:val="left"/>
        <w:rPr>
          <w:rFonts w:ascii="仿宋_GB2312" w:eastAsia="仿宋_GB2312"/>
          <w:sz w:val="32"/>
          <w:szCs w:val="32"/>
        </w:rPr>
      </w:pPr>
      <w:r>
        <w:rPr>
          <w:rFonts w:hint="eastAsia" w:ascii="仿宋_GB2312" w:hAnsi="仿宋_GB2312" w:eastAsia="仿宋_GB2312" w:cs="仿宋_GB2312"/>
          <w:sz w:val="32"/>
          <w:szCs w:val="32"/>
        </w:rPr>
        <w:t>九、国有资本经营预算财政拨款支出决算情况说明</w:t>
      </w:r>
      <w:r>
        <w:rPr>
          <w:rFonts w:hint="eastAsia" w:ascii="仿宋_GB2312" w:hAnsi="仿宋_GB2312" w:eastAsia="仿宋_GB2312" w:cs="仿宋_GB2312"/>
          <w:sz w:val="32"/>
          <w:szCs w:val="32"/>
        </w:rPr>
        <w:br w:type="textWrapping"/>
      </w:r>
      <w:r>
        <w:rPr>
          <w:rFonts w:hint="eastAsia" w:ascii="仿宋_GB2312" w:eastAsia="仿宋_GB2312"/>
          <w:sz w:val="32"/>
          <w:szCs w:val="32"/>
        </w:rPr>
        <w:t>十、其他重要事项情况说明</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第四部分  名词解释</w:t>
      </w:r>
    </w:p>
    <w:p>
      <w:pPr>
        <w:spacing w:line="560" w:lineRule="exact"/>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widowControl/>
        <w:numPr>
          <w:ilvl w:val="0"/>
          <w:numId w:val="1"/>
        </w:numPr>
        <w:adjustRightInd w:val="0"/>
        <w:snapToGrid w:val="0"/>
        <w:spacing w:line="560" w:lineRule="exact"/>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2021年度部门决算明细表（含九张表）</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spacing w:line="480" w:lineRule="exact"/>
        <w:jc w:val="center"/>
        <w:rPr>
          <w:rFonts w:ascii="方正小标宋简体" w:hAnsi="方正小标宋简体" w:eastAsia="方正小标宋简体" w:cs="方正小标宋简体"/>
          <w:bCs/>
          <w:sz w:val="44"/>
          <w:szCs w:val="44"/>
        </w:rPr>
      </w:pPr>
    </w:p>
    <w:p>
      <w:pPr>
        <w:spacing w:line="480" w:lineRule="exact"/>
        <w:jc w:val="center"/>
        <w:rPr>
          <w:rFonts w:ascii="方正小标宋简体" w:hAnsi="方正小标宋简体" w:eastAsia="方正小标宋简体" w:cs="方正小标宋简体"/>
          <w:bCs/>
          <w:sz w:val="44"/>
          <w:szCs w:val="44"/>
        </w:rPr>
      </w:pPr>
    </w:p>
    <w:p>
      <w:pPr>
        <w:spacing w:line="480" w:lineRule="exact"/>
        <w:jc w:val="left"/>
        <w:rPr>
          <w:rFonts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察隅县政法委概况</w:t>
      </w:r>
    </w:p>
    <w:p>
      <w:pPr>
        <w:rPr>
          <w:rFonts w:ascii="黑体" w:hAnsi="仿宋_GB2312" w:eastAsia="黑体" w:cs="仿宋_GB2312"/>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一、工作职责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(一）贯彻贯彻习近平新时代中国特色社会主义思想，深入贯彻党的路线方针政策和决策部署，统一政法各部门的思想和行动，坚持党对政法工作的绝对领导，坚决维护党中央权威和集中统一领导。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深入贯彻党中央决定和自治区党委、市委、县委部署，对全县政法工作研究提出全局性部署，推进平安察隅、法治察隅建设，加强过硬政法队伍建设，深化智能化建设，坚决维护国家政治安全、确保全县社会大局稳定、促进社会公平正义、保障人民安居乐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（三）了解和分析研判全县政法工作动态，分析社会稳定形式，创新完善多部门参与的综治维稳工作机制，协调推动预防、化解影响稳定的社会矛盾和风险，协调应对和处置重大突发事件。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（四）加强对全县各级政法工作的督查，统筹协调社会治安综合治理、维护社会稳定、反邪教有关法律法规政策的实施工作。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（五）组织开展全县政法领域的调查研究，研究拟定政法工作的各项措施，及时向县委提出建议。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（六）掌握分析全县舆情动态，指导协调县直政法各部门媒体网络宣传工作，指导全县各级政法部门做好涉及正政法工作的重大宣传工作。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（七）统筹协调推进全县政法信息化建设工作，研究分析政法信息基础设施共建共享、互联互通和开放兼容的政策意见，指导政法各部门信息化平台建设工作。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（八）监督和支持县政法各部门依法行使职权，指导和协调政法各部门密切配合，研究和协调重大、疑难案件，推进严格执法、公正司法。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（九）组织研究全县政法改革中带有方向性、倾斜性和普遍性的重大问题，深化政法改革。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（十）指导和推动全县政法系统党的建设和政法队伍建设，开展县法学会工作。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（十一）完成市委政法委、县委交办的其他任务。</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二、预算部门单位构成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法委（察隅县委政法委员会领导小组办公室、平安察隅建设工作领导小组办公室、市域社会治理现代化试点工作领导小组办公室、察隅县政法队伍教育整顿领导小组办公室、察隅县扫黑除恶领导小组办公室、察隅县社会稳定风险评估工作领导小组办公室、察隅县群防群治工作领导小组办公室、察隅县双联户服务管理工作领导小组、察隅县反邪教工作领导小组办公室、察隅县涉法涉诉案件处理工作领导小组）</w:t>
      </w:r>
    </w:p>
    <w:p>
      <w:pPr>
        <w:rPr>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察隅县政法委2021年度部门决算明细表（详见附表）</w:t>
      </w:r>
    </w:p>
    <w:p>
      <w:pPr>
        <w:spacing w:line="560" w:lineRule="exact"/>
        <w:jc w:val="center"/>
        <w:rPr>
          <w:rFonts w:ascii="黑体" w:hAnsi="仿宋_GB2312" w:eastAsia="黑体" w:cs="仿宋_GB2312"/>
          <w:sz w:val="32"/>
          <w:szCs w:val="32"/>
        </w:rPr>
      </w:pPr>
    </w:p>
    <w:p>
      <w:pPr>
        <w:pStyle w:val="8"/>
        <w:spacing w:line="560" w:lineRule="exact"/>
        <w:ind w:left="2200" w:hanging="2200" w:hanging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察隅县政法委2021年度部门决算情况说明</w:t>
      </w:r>
    </w:p>
    <w:p>
      <w:pPr>
        <w:ind w:firstLine="482" w:firstLineChars="150"/>
        <w:jc w:val="left"/>
        <w:rPr>
          <w:rFonts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一、收入支出决算总体情况说明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rPr>
        <w:t>2021年度收支决算总规模为330.12万元，相比上年降低28.6%，主要原因为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二、收入决算情况说明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rPr>
        <w:t>2021年度总收入决算为317.09万元，主要包括财政拨款收入317.09万元，占总收入100%；总收入比上年减少90.65万元，同比降低28.6%，主要原因为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三、支出决算情况说明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宋体" w:cs="Arial"/>
          <w:color w:val="000000"/>
          <w:kern w:val="0"/>
          <w:sz w:val="22"/>
          <w:highlight w:val="yellow"/>
          <w:lang w:val="en-US" w:eastAsia="zh-CN"/>
        </w:rPr>
      </w:pPr>
      <w:r>
        <w:rPr>
          <w:rFonts w:hint="eastAsia" w:ascii="仿宋_GB2312" w:eastAsia="仿宋_GB2312"/>
          <w:sz w:val="32"/>
          <w:szCs w:val="32"/>
        </w:rPr>
        <w:t>2021年度总支出决算为330.13万元，主要包括基本支出118.1万元，占总支出35.78%；项目支出212.03，占总支出64.22%。总支出比上年减少194.71万元，同比降低58.9%，主要原因为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四、一般公共预算财政拨款收入支出决算总体情况说明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rPr>
        <w:t>2021年度总收入决算为330.12万元，主要包括财政拨款收入330.12万元，占总收入100%；总收入比上年减少90.65万元，同比降低28.6%，主要原因为项目专项资金支出及基本支出资金减少。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rPr>
        <w:t>2021年度总支出决算为330.12万元，主要包括基本支出118.1万元，占总支出35.78%；项目支出212.03，占总支出64.22%。总支出比上年减少194.71万元，同比降低58.9%，主要原因为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五、一般公共预算财政拨款支出决算情况说明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kern w:val="0"/>
          <w:sz w:val="32"/>
          <w:szCs w:val="32"/>
        </w:rPr>
        <w:t>2021年度一般公共预算财政拨款支出</w:t>
      </w:r>
      <w:r>
        <w:rPr>
          <w:rFonts w:hint="eastAsia" w:ascii="仿宋_GB2312" w:eastAsia="仿宋_GB2312"/>
          <w:sz w:val="32"/>
          <w:szCs w:val="32"/>
        </w:rPr>
        <w:t>决算为330.12万元，比年初预算增加79.05万元,增长23.94%，主要原因为</w:t>
      </w:r>
      <w:r>
        <w:rPr>
          <w:rFonts w:hint="eastAsia" w:ascii="仿宋_GB2312" w:eastAsia="仿宋_GB2312"/>
          <w:sz w:val="32"/>
          <w:szCs w:val="32"/>
          <w:lang w:eastAsia="zh-CN"/>
        </w:rPr>
        <w:t>年中收到</w:t>
      </w:r>
      <w:r>
        <w:rPr>
          <w:rFonts w:hint="eastAsia" w:ascii="仿宋_GB2312" w:eastAsia="仿宋_GB2312"/>
          <w:sz w:val="32"/>
          <w:szCs w:val="32"/>
        </w:rPr>
        <w:t>用于专项业务方面</w:t>
      </w:r>
      <w:r>
        <w:rPr>
          <w:rFonts w:hint="eastAsia" w:ascii="仿宋_GB2312" w:eastAsia="仿宋_GB2312"/>
          <w:sz w:val="32"/>
          <w:szCs w:val="32"/>
          <w:lang w:eastAsia="zh-CN"/>
        </w:rPr>
        <w:t>的</w:t>
      </w:r>
      <w:r>
        <w:rPr>
          <w:rFonts w:hint="eastAsia" w:ascii="仿宋_GB2312" w:eastAsia="仿宋_GB2312"/>
          <w:sz w:val="32"/>
          <w:szCs w:val="32"/>
        </w:rPr>
        <w:t>转移支付资金较多。比上年决算减少194.71万元，同比降低58.9%，主要原因为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减少。其中：基本支出118.1万元，占总支出35.77%；项目支出212.03万元，占总支出64.23%。</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2021年度一般公共预算财政拨款基本支出决算为118.1万元，比年初预算减少48.24万元,降低26.35%，主要原因为工资福利支出减少，其中：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rPr>
        <w:t>合计100.46万元，占总支出的85.06%，主要包括工资福利支出支出和对个人和家庭的补助支出。</w:t>
      </w:r>
      <w:r>
        <w:rPr>
          <w:rFonts w:hint="eastAsia" w:ascii="仿宋_GB2312" w:eastAsia="仿宋_GB2312"/>
          <w:b/>
          <w:sz w:val="32"/>
          <w:szCs w:val="32"/>
        </w:rPr>
        <w:t>公用经费支出</w:t>
      </w:r>
      <w:r>
        <w:rPr>
          <w:rFonts w:hint="eastAsia" w:ascii="仿宋_GB2312" w:eastAsia="仿宋_GB2312"/>
          <w:sz w:val="32"/>
          <w:szCs w:val="32"/>
        </w:rPr>
        <w:t>合计17.64万元，占总支出14.94%，</w:t>
      </w:r>
      <w:r>
        <w:rPr>
          <w:rFonts w:hint="eastAsia" w:ascii="FangSong_GB2312" w:eastAsia="FangSong_GB2312"/>
          <w:sz w:val="32"/>
          <w:szCs w:val="32"/>
          <w:lang w:eastAsia="zh-CN"/>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七、一般公共预算财政拨款“三公”经费支出决算情况说明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2021年度一般公共预算财政拨款“三公”经费总支出3.33万元，比年初预算增加0.88万元，增长22.27%。比上年决算减少4.37万元，同比降低34.62%</w:t>
      </w:r>
      <w:r>
        <w:rPr>
          <w:rFonts w:hint="eastAsia" w:ascii="仿宋_GB2312" w:hAnsi="仿宋_GB2312" w:eastAsia="仿宋_GB2312" w:cs="仿宋_GB2312"/>
          <w:sz w:val="32"/>
          <w:szCs w:val="32"/>
        </w:rPr>
        <w:t>。其中：</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仿宋_GB2312" w:eastAsia="仿宋_GB2312" w:cs="仿宋_GB2312"/>
          <w:snapToGrid w:val="0"/>
          <w:w w:val="95"/>
          <w:sz w:val="32"/>
          <w:szCs w:val="32"/>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（2）公务用车购置及运行费</w:t>
      </w:r>
      <w:r>
        <w:rPr>
          <w:rFonts w:hint="eastAsia" w:ascii="仿宋_GB2312" w:hAnsi="仿宋_GB2312" w:eastAsia="仿宋_GB2312" w:cs="仿宋_GB2312"/>
          <w:snapToGrid w:val="0"/>
          <w:w w:val="95"/>
          <w:sz w:val="32"/>
          <w:szCs w:val="32"/>
        </w:rPr>
        <w:t>。2021年度支出3.33万元，其中：</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1.公务用车购置费。公务用车购置数为0，保有量为1辆，与上年持平，与预算数持平。公务用车购置严格按照我县车辆管理及厉行节约有关要求实行总额控制。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2.公务用车运行费。2021年度支出3.33万元，比年初预算增加1.58万元，增长32.79%。比</w:t>
      </w:r>
      <w:r>
        <w:rPr>
          <w:rFonts w:hint="eastAsia" w:ascii="仿宋_GB2312" w:hAnsi="仿宋_GB2312" w:eastAsia="仿宋_GB2312" w:cs="仿宋_GB2312"/>
          <w:sz w:val="32"/>
          <w:szCs w:val="32"/>
        </w:rPr>
        <w:t>上年决算减少4.37万元，同比降低3.65%，主要原因为本单位本年度严格执行公务用车运行维护费管理办法，减少公务用车维护费支出。</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（3）公务接待费。</w:t>
      </w:r>
      <w:r>
        <w:rPr>
          <w:rFonts w:hint="eastAsia" w:ascii="仿宋_GB2312" w:hAnsi="仿宋_GB2312" w:eastAsia="仿宋_GB2312" w:cs="仿宋_GB2312"/>
          <w:snapToGrid w:val="0"/>
          <w:w w:val="95"/>
          <w:sz w:val="32"/>
          <w:szCs w:val="32"/>
        </w:rPr>
        <w:t>2021年度支出0万元，公务接待0批次，0人次。比年初预算减少0.7万元，降低100%。比上年减少0.7万元，同比降低100%。主要原因为我单位按照公务接待相关要求，厉行勤俭节约严格控制不必要的公务接待费支出。</w:t>
      </w:r>
    </w:p>
    <w:p>
      <w:pPr>
        <w:pStyle w:val="8"/>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八、政府性基金预算财政拨款收入支出决算情况说明</w:t>
      </w:r>
    </w:p>
    <w:p>
      <w:pPr>
        <w:pStyle w:val="8"/>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2021年度本单位无政府性基金预算财政拨款收入，</w:t>
      </w:r>
      <w:r>
        <w:rPr>
          <w:rFonts w:hint="eastAsia" w:ascii="仿宋_GB2312" w:hAnsi="仿宋_GB2312" w:eastAsia="仿宋_GB2312" w:cs="仿宋_GB2312"/>
          <w:snapToGrid w:val="0"/>
          <w:w w:val="95"/>
          <w:sz w:val="32"/>
          <w:szCs w:val="32"/>
        </w:rPr>
        <w:t>与上年持平，与预算数持平</w:t>
      </w:r>
      <w:r>
        <w:rPr>
          <w:rFonts w:hint="eastAsia" w:ascii="仿宋_GB2312" w:hAnsi="仿宋_GB2312" w:eastAsia="仿宋_GB2312" w:cs="仿宋_GB2312"/>
          <w:sz w:val="32"/>
          <w:szCs w:val="32"/>
        </w:rPr>
        <w:t>。</w:t>
      </w:r>
    </w:p>
    <w:p>
      <w:pPr>
        <w:keepNext w:val="0"/>
        <w:keepLines w:val="0"/>
        <w:pageBreakBefore w:val="0"/>
        <w:numPr>
          <w:ilvl w:val="0"/>
          <w:numId w:val="3"/>
        </w:numPr>
        <w:kinsoku/>
        <w:wordWrap/>
        <w:overflowPunct/>
        <w:topLinePunct w:val="0"/>
        <w:autoSpaceDE/>
        <w:autoSpaceDN/>
        <w:bidi w:val="0"/>
        <w:spacing w:line="560" w:lineRule="exact"/>
        <w:ind w:left="638" w:leftChars="304"/>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国有资本经营预算财政拨款支出决算情况说明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2021年度国有资本经营预算财政拨款支出为0万元，</w:t>
      </w:r>
      <w:r>
        <w:rPr>
          <w:rFonts w:hint="eastAsia" w:ascii="仿宋_GB2312" w:hAnsi="仿宋_GB2312" w:eastAsia="仿宋_GB2312" w:cs="仿宋_GB2312"/>
          <w:snapToGrid w:val="0"/>
          <w:w w:val="95"/>
          <w:sz w:val="32"/>
          <w:szCs w:val="32"/>
        </w:rPr>
        <w:t>与上年持平，与预算数持平。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hAnsi="仿宋_GB2312" w:eastAsia="仿宋_GB2312" w:cs="仿宋_GB2312"/>
          <w:snapToGrid w:val="0"/>
          <w:w w:val="95"/>
          <w:sz w:val="32"/>
          <w:szCs w:val="32"/>
        </w:rPr>
      </w:pPr>
      <w:r>
        <w:rPr>
          <w:rFonts w:hint="eastAsia" w:ascii="仿宋_GB2312" w:eastAsia="仿宋_GB2312"/>
          <w:b/>
          <w:bCs/>
          <w:sz w:val="32"/>
          <w:szCs w:val="32"/>
        </w:rPr>
        <w:t>十、其他重要事项情况说明</w:t>
      </w:r>
    </w:p>
    <w:p>
      <w:pPr>
        <w:keepNext w:val="0"/>
        <w:keepLines w:val="0"/>
        <w:pageBreakBefore w:val="0"/>
        <w:kinsoku/>
        <w:wordWrap/>
        <w:overflowPunct/>
        <w:topLinePunct w:val="0"/>
        <w:autoSpaceDE/>
        <w:autoSpaceDN/>
        <w:bidi w:val="0"/>
        <w:spacing w:line="560" w:lineRule="exact"/>
        <w:ind w:firstLine="480" w:firstLineChars="150"/>
        <w:textAlignment w:val="auto"/>
        <w:rPr>
          <w:rFonts w:ascii="仿宋_GB2312" w:eastAsia="仿宋_GB2312"/>
          <w:sz w:val="32"/>
          <w:szCs w:val="32"/>
        </w:rPr>
      </w:pPr>
      <w:r>
        <w:rPr>
          <w:rFonts w:hint="eastAsia" w:ascii="楷体_GB2312" w:hAnsi="楷体_GB2312" w:eastAsia="楷体_GB2312" w:cs="楷体_GB2312"/>
          <w:sz w:val="32"/>
          <w:szCs w:val="32"/>
        </w:rPr>
        <w:t>（一）机关运行经费执行情况说明。</w:t>
      </w:r>
      <w:r>
        <w:rPr>
          <w:rFonts w:hint="eastAsia" w:ascii="仿宋_GB2312" w:eastAsia="仿宋_GB2312"/>
          <w:sz w:val="32"/>
          <w:szCs w:val="32"/>
        </w:rPr>
        <w:t>2021年度机关运行经费支出17.64万元，比上年增长</w:t>
      </w:r>
      <w:r>
        <w:rPr>
          <w:rFonts w:hint="eastAsia" w:ascii="仿宋_GB2312" w:hAnsi="仿宋_GB2312" w:eastAsia="仿宋_GB2312" w:cs="仿宋_GB2312"/>
          <w:sz w:val="32"/>
          <w:szCs w:val="32"/>
        </w:rPr>
        <w:t>1.92</w:t>
      </w:r>
      <w:r>
        <w:rPr>
          <w:rFonts w:hint="eastAsia" w:ascii="仿宋_GB2312" w:eastAsia="仿宋_GB2312"/>
          <w:sz w:val="32"/>
          <w:szCs w:val="32"/>
        </w:rPr>
        <w:t>万元，同比增长10.96%。主要原因为本年度公用经费支出较多。</w:t>
      </w:r>
    </w:p>
    <w:p>
      <w:pPr>
        <w:keepNext w:val="0"/>
        <w:keepLines w:val="0"/>
        <w:pageBreakBefore w:val="0"/>
        <w:kinsoku/>
        <w:wordWrap/>
        <w:overflowPunct/>
        <w:topLinePunct w:val="0"/>
        <w:autoSpaceDE/>
        <w:autoSpaceDN/>
        <w:bidi w:val="0"/>
        <w:spacing w:line="560" w:lineRule="exact"/>
        <w:ind w:firstLine="480" w:firstLineChars="150"/>
        <w:jc w:val="left"/>
        <w:textAlignment w:val="auto"/>
        <w:rPr>
          <w:rFonts w:ascii="楷体_GB2312" w:hAnsi="楷体_GB2312" w:eastAsia="仿宋_GB2312" w:cs="楷体_GB2312"/>
          <w:sz w:val="32"/>
          <w:szCs w:val="32"/>
        </w:rPr>
      </w:pPr>
      <w:r>
        <w:rPr>
          <w:rFonts w:hint="eastAsia" w:ascii="楷体_GB2312" w:hAnsi="楷体_GB2312" w:eastAsia="楷体_GB2312" w:cs="楷体_GB2312"/>
          <w:sz w:val="32"/>
          <w:szCs w:val="32"/>
        </w:rPr>
        <w:t>（二）政府采购支出情况说明。</w:t>
      </w:r>
      <w:r>
        <w:rPr>
          <w:rFonts w:hint="eastAsia" w:ascii="仿宋_GB2312" w:eastAsia="仿宋_GB2312"/>
          <w:sz w:val="32"/>
          <w:szCs w:val="32"/>
        </w:rPr>
        <w:t>2021年度政府采购支出0万元，其中：政府采购货物支出0万元，政府采购工程支出0万元，政府采购服务支出0万元。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（三）国有资产占用情况说明。</w:t>
      </w:r>
      <w:r>
        <w:rPr>
          <w:rFonts w:hint="eastAsia" w:ascii="仿宋_GB2312" w:hAnsi="仿宋_GB2312" w:eastAsia="仿宋_GB2312" w:cs="仿宋_GB2312"/>
          <w:sz w:val="32"/>
          <w:szCs w:val="32"/>
        </w:rPr>
        <w:t>截至2021年12月31日，本部门共有车辆</w:t>
      </w: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辆，其中：一般公务用车1辆、机要通信用车0辆、应急保障用车0辆、执法执勤用车0辆、其他用车0辆、单价50万元（含）以上的通用设备0台（套）、单价100万元（含）以上的专用设备0台（套）。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根据预算绩效管理要求，察隅县政法委已按要求编制整体支出绩效目标，并围绕政策落实、年度计划实施、重点工作任务和重大项目开展以及资金管理使用等情况，开展整体支出绩效自评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（五）重点、重大项目信息说明。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2021年度察隅县政法委无重点、重大项目信息。</w:t>
      </w:r>
    </w:p>
    <w:p>
      <w:pPr>
        <w:ind w:left="4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二、其他收入：</w:t>
      </w:r>
      <w:r>
        <w:rPr>
          <w:rFonts w:hint="eastAsia" w:ascii="仿宋_GB2312" w:hAnsi="仿宋_GB2312" w:eastAsia="仿宋_GB2312" w:cs="仿宋_GB2312"/>
          <w:bCs/>
          <w:sz w:val="32"/>
          <w:szCs w:val="32"/>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三、一般公共服务支出：</w:t>
      </w:r>
      <w:r>
        <w:rPr>
          <w:rFonts w:hint="eastAsia" w:ascii="仿宋_GB2312" w:hAnsi="仿宋_GB2312" w:eastAsia="仿宋_GB2312" w:cs="仿宋_GB2312"/>
          <w:sz w:val="32"/>
          <w:szCs w:val="32"/>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四、行政运行：</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指为保障机构正常运转，完成日常工作任务而发生的人员支出（包括基本工资、津贴补贴等）和公用支出（包括办公费、邮电费、差旅费及印刷费等）。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八、年末结转和结余：</w:t>
      </w:r>
      <w:r>
        <w:rPr>
          <w:rFonts w:hint="eastAsia" w:ascii="仿宋_GB2312" w:hAnsi="仿宋_GB2312" w:eastAsia="仿宋_GB2312" w:cs="仿宋_GB2312"/>
          <w:sz w:val="32"/>
          <w:szCs w:val="32"/>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九、</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黑体" w:eastAsia="黑体"/>
          <w:sz w:val="32"/>
          <w:szCs w:val="32"/>
        </w:rPr>
      </w:pPr>
      <w:r>
        <w:rPr>
          <w:rFonts w:hint="eastAsia" w:ascii="仿宋_GB2312" w:hAnsi="仿宋_GB2312" w:eastAsia="仿宋_GB2312" w:cs="仿宋_GB2312"/>
          <w:b/>
          <w:sz w:val="32"/>
          <w:szCs w:val="32"/>
        </w:rPr>
        <w:t>十、机关运行经费，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- 8 -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47EE069"/>
    <w:multiLevelType w:val="singleLevel"/>
    <w:tmpl w:val="347EE069"/>
    <w:lvl w:ilvl="0" w:tentative="0">
      <w:start w:val="1"/>
      <w:numFmt w:val="chineseCounting"/>
      <w:suff w:val="space"/>
      <w:lvlText w:val="第%1部分"/>
      <w:lvlJc w:val="left"/>
      <w:rPr>
        <w:rFonts w:hint="eastAsia"/>
      </w:rPr>
    </w:lvl>
  </w:abstractNum>
  <w:abstractNum w:abstractNumId="2">
    <w:nsid w:val="3A6239A7"/>
    <w:multiLevelType w:val="singleLevel"/>
    <w:tmpl w:val="3A6239A7"/>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2A88"/>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878"/>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573DE"/>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5415A"/>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2B84"/>
    <w:rsid w:val="009B5EA4"/>
    <w:rsid w:val="009B775A"/>
    <w:rsid w:val="009D7E33"/>
    <w:rsid w:val="009E3CF4"/>
    <w:rsid w:val="009E6E04"/>
    <w:rsid w:val="009F4B7D"/>
    <w:rsid w:val="00A0051C"/>
    <w:rsid w:val="00A0582B"/>
    <w:rsid w:val="00A12570"/>
    <w:rsid w:val="00A15F59"/>
    <w:rsid w:val="00A165FA"/>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03AC"/>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84729"/>
    <w:rsid w:val="00E90E7B"/>
    <w:rsid w:val="00E93433"/>
    <w:rsid w:val="00EA30DA"/>
    <w:rsid w:val="00EE4400"/>
    <w:rsid w:val="00EE556F"/>
    <w:rsid w:val="00EE566D"/>
    <w:rsid w:val="00F24C6F"/>
    <w:rsid w:val="00F437D4"/>
    <w:rsid w:val="00F57203"/>
    <w:rsid w:val="00F60D21"/>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37E5F1D"/>
    <w:rsid w:val="03CC7163"/>
    <w:rsid w:val="03DA0031"/>
    <w:rsid w:val="03EC44F3"/>
    <w:rsid w:val="03FD70A9"/>
    <w:rsid w:val="04012030"/>
    <w:rsid w:val="043B2C3A"/>
    <w:rsid w:val="0452115D"/>
    <w:rsid w:val="04815BD5"/>
    <w:rsid w:val="05097677"/>
    <w:rsid w:val="060825F0"/>
    <w:rsid w:val="063E3381"/>
    <w:rsid w:val="0643722A"/>
    <w:rsid w:val="065E21CA"/>
    <w:rsid w:val="06E8512E"/>
    <w:rsid w:val="06E97EA9"/>
    <w:rsid w:val="06FD6EE5"/>
    <w:rsid w:val="071E1426"/>
    <w:rsid w:val="07594DF7"/>
    <w:rsid w:val="077477A9"/>
    <w:rsid w:val="077949DE"/>
    <w:rsid w:val="078B0FD7"/>
    <w:rsid w:val="07B34C51"/>
    <w:rsid w:val="080201B4"/>
    <w:rsid w:val="08207909"/>
    <w:rsid w:val="088439AF"/>
    <w:rsid w:val="088D6631"/>
    <w:rsid w:val="08D031DD"/>
    <w:rsid w:val="08E30F54"/>
    <w:rsid w:val="0915429C"/>
    <w:rsid w:val="09213420"/>
    <w:rsid w:val="09383344"/>
    <w:rsid w:val="098E615B"/>
    <w:rsid w:val="09CD1DDE"/>
    <w:rsid w:val="09D23368"/>
    <w:rsid w:val="09F407D8"/>
    <w:rsid w:val="0A1E26CD"/>
    <w:rsid w:val="0A1F0C00"/>
    <w:rsid w:val="0A2F3C47"/>
    <w:rsid w:val="0A4E1AEA"/>
    <w:rsid w:val="0A617FB0"/>
    <w:rsid w:val="0A872545"/>
    <w:rsid w:val="0A903954"/>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97747"/>
    <w:rsid w:val="0C5A6A4B"/>
    <w:rsid w:val="0C5B5F56"/>
    <w:rsid w:val="0CBB7325"/>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43A6F"/>
    <w:rsid w:val="0F775EC7"/>
    <w:rsid w:val="0FC65547"/>
    <w:rsid w:val="0FCC34FC"/>
    <w:rsid w:val="0FED4320"/>
    <w:rsid w:val="10135F4E"/>
    <w:rsid w:val="102E66FD"/>
    <w:rsid w:val="106B4098"/>
    <w:rsid w:val="10784C3F"/>
    <w:rsid w:val="10E16DBA"/>
    <w:rsid w:val="10FE7208"/>
    <w:rsid w:val="111D5572"/>
    <w:rsid w:val="115616DD"/>
    <w:rsid w:val="11897E1C"/>
    <w:rsid w:val="118C5C7C"/>
    <w:rsid w:val="11D71DB8"/>
    <w:rsid w:val="120E3A6C"/>
    <w:rsid w:val="1257313B"/>
    <w:rsid w:val="12601F0B"/>
    <w:rsid w:val="127B7321"/>
    <w:rsid w:val="12975B33"/>
    <w:rsid w:val="132E7FA6"/>
    <w:rsid w:val="133B537F"/>
    <w:rsid w:val="13AC5DE2"/>
    <w:rsid w:val="13D7782C"/>
    <w:rsid w:val="13E17A11"/>
    <w:rsid w:val="13E9383C"/>
    <w:rsid w:val="14153FCB"/>
    <w:rsid w:val="1469705C"/>
    <w:rsid w:val="14EF7838"/>
    <w:rsid w:val="14F20947"/>
    <w:rsid w:val="14F77C11"/>
    <w:rsid w:val="15131DF0"/>
    <w:rsid w:val="151C638B"/>
    <w:rsid w:val="15226909"/>
    <w:rsid w:val="15274957"/>
    <w:rsid w:val="153A1DE9"/>
    <w:rsid w:val="154F5D4D"/>
    <w:rsid w:val="1594125D"/>
    <w:rsid w:val="1594320F"/>
    <w:rsid w:val="15A128FE"/>
    <w:rsid w:val="15EC5170"/>
    <w:rsid w:val="162A797C"/>
    <w:rsid w:val="16393AEE"/>
    <w:rsid w:val="165C1EC5"/>
    <w:rsid w:val="16F35772"/>
    <w:rsid w:val="17B7334E"/>
    <w:rsid w:val="17CD2403"/>
    <w:rsid w:val="17E937AE"/>
    <w:rsid w:val="181D48C4"/>
    <w:rsid w:val="18255DD6"/>
    <w:rsid w:val="185B13AE"/>
    <w:rsid w:val="188C0ABD"/>
    <w:rsid w:val="18C70DD4"/>
    <w:rsid w:val="18EB15EF"/>
    <w:rsid w:val="19234752"/>
    <w:rsid w:val="192B0B9A"/>
    <w:rsid w:val="192E320B"/>
    <w:rsid w:val="197856BC"/>
    <w:rsid w:val="19AA096B"/>
    <w:rsid w:val="19DC3CF4"/>
    <w:rsid w:val="1A581A52"/>
    <w:rsid w:val="1A6105B6"/>
    <w:rsid w:val="1A707545"/>
    <w:rsid w:val="1A7B0FF9"/>
    <w:rsid w:val="1ACE64AB"/>
    <w:rsid w:val="1AE16D98"/>
    <w:rsid w:val="1AEC2C50"/>
    <w:rsid w:val="1B057A41"/>
    <w:rsid w:val="1B367D8E"/>
    <w:rsid w:val="1B7109B6"/>
    <w:rsid w:val="1C0D3A85"/>
    <w:rsid w:val="1C93612C"/>
    <w:rsid w:val="1CAE2196"/>
    <w:rsid w:val="1D323688"/>
    <w:rsid w:val="1DAC4595"/>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2336C"/>
    <w:rsid w:val="21DD2940"/>
    <w:rsid w:val="21DF1099"/>
    <w:rsid w:val="22264BFB"/>
    <w:rsid w:val="228D60F6"/>
    <w:rsid w:val="22933B81"/>
    <w:rsid w:val="22F23976"/>
    <w:rsid w:val="23021452"/>
    <w:rsid w:val="23105FD7"/>
    <w:rsid w:val="232F0410"/>
    <w:rsid w:val="233A7A0A"/>
    <w:rsid w:val="238A6703"/>
    <w:rsid w:val="23AD4F2E"/>
    <w:rsid w:val="23DB7500"/>
    <w:rsid w:val="23E0752E"/>
    <w:rsid w:val="240235FB"/>
    <w:rsid w:val="241033B9"/>
    <w:rsid w:val="24262A62"/>
    <w:rsid w:val="24633129"/>
    <w:rsid w:val="247C476A"/>
    <w:rsid w:val="24925309"/>
    <w:rsid w:val="24C70A7D"/>
    <w:rsid w:val="24E207E3"/>
    <w:rsid w:val="24E649A4"/>
    <w:rsid w:val="24F401BB"/>
    <w:rsid w:val="24F63A00"/>
    <w:rsid w:val="255741FF"/>
    <w:rsid w:val="25615BEB"/>
    <w:rsid w:val="25660E2E"/>
    <w:rsid w:val="25710C7A"/>
    <w:rsid w:val="258D7E8D"/>
    <w:rsid w:val="26046103"/>
    <w:rsid w:val="261F69B7"/>
    <w:rsid w:val="27F90679"/>
    <w:rsid w:val="281618C5"/>
    <w:rsid w:val="28247C87"/>
    <w:rsid w:val="28376E94"/>
    <w:rsid w:val="285828E5"/>
    <w:rsid w:val="28653502"/>
    <w:rsid w:val="287309F7"/>
    <w:rsid w:val="28746B4A"/>
    <w:rsid w:val="28AC2E0B"/>
    <w:rsid w:val="28CA0FE2"/>
    <w:rsid w:val="28D36E04"/>
    <w:rsid w:val="290D295E"/>
    <w:rsid w:val="291558A3"/>
    <w:rsid w:val="29487BC6"/>
    <w:rsid w:val="29551ED8"/>
    <w:rsid w:val="29831A2D"/>
    <w:rsid w:val="298C2759"/>
    <w:rsid w:val="29911ECA"/>
    <w:rsid w:val="29A7505E"/>
    <w:rsid w:val="29FA6023"/>
    <w:rsid w:val="2A337514"/>
    <w:rsid w:val="2A753821"/>
    <w:rsid w:val="2A9F5C2C"/>
    <w:rsid w:val="2AED2707"/>
    <w:rsid w:val="2B220DAD"/>
    <w:rsid w:val="2B4F3BB5"/>
    <w:rsid w:val="2B5D54E7"/>
    <w:rsid w:val="2B5E29B1"/>
    <w:rsid w:val="2B664296"/>
    <w:rsid w:val="2C2529BD"/>
    <w:rsid w:val="2C82694E"/>
    <w:rsid w:val="2CAD182D"/>
    <w:rsid w:val="2D01320C"/>
    <w:rsid w:val="2D21246F"/>
    <w:rsid w:val="2D3A646F"/>
    <w:rsid w:val="2D5B7474"/>
    <w:rsid w:val="2D7B6A45"/>
    <w:rsid w:val="2DA83E89"/>
    <w:rsid w:val="2DAF04EC"/>
    <w:rsid w:val="2DBC783D"/>
    <w:rsid w:val="2DF41F4C"/>
    <w:rsid w:val="2E177979"/>
    <w:rsid w:val="2E331C8F"/>
    <w:rsid w:val="2E3C12F8"/>
    <w:rsid w:val="2E4A7695"/>
    <w:rsid w:val="2E61515A"/>
    <w:rsid w:val="2E6F28BA"/>
    <w:rsid w:val="2E7D68FA"/>
    <w:rsid w:val="2EE26B9D"/>
    <w:rsid w:val="2EEF239B"/>
    <w:rsid w:val="2F131B64"/>
    <w:rsid w:val="2F1A79B2"/>
    <w:rsid w:val="2F9031C9"/>
    <w:rsid w:val="2FCC70D8"/>
    <w:rsid w:val="2FDF60C1"/>
    <w:rsid w:val="302C1E05"/>
    <w:rsid w:val="307F76B3"/>
    <w:rsid w:val="309F4A50"/>
    <w:rsid w:val="30B85EDF"/>
    <w:rsid w:val="30E273D5"/>
    <w:rsid w:val="311F1E9F"/>
    <w:rsid w:val="31871F90"/>
    <w:rsid w:val="31A3609D"/>
    <w:rsid w:val="31F8192B"/>
    <w:rsid w:val="32114431"/>
    <w:rsid w:val="322D2CB4"/>
    <w:rsid w:val="32933866"/>
    <w:rsid w:val="32983192"/>
    <w:rsid w:val="32D108F1"/>
    <w:rsid w:val="33A73A6E"/>
    <w:rsid w:val="33A91A06"/>
    <w:rsid w:val="33D608B3"/>
    <w:rsid w:val="33EE45A0"/>
    <w:rsid w:val="341A178E"/>
    <w:rsid w:val="34360EE0"/>
    <w:rsid w:val="34520027"/>
    <w:rsid w:val="34524EB7"/>
    <w:rsid w:val="3455668C"/>
    <w:rsid w:val="345C23B7"/>
    <w:rsid w:val="348859FE"/>
    <w:rsid w:val="34DA4A3E"/>
    <w:rsid w:val="34E15892"/>
    <w:rsid w:val="3511435E"/>
    <w:rsid w:val="355431A7"/>
    <w:rsid w:val="357525C9"/>
    <w:rsid w:val="35933AE6"/>
    <w:rsid w:val="35A858FB"/>
    <w:rsid w:val="35AB6C71"/>
    <w:rsid w:val="35C25411"/>
    <w:rsid w:val="35D25DC6"/>
    <w:rsid w:val="35ED61F6"/>
    <w:rsid w:val="35FD1A71"/>
    <w:rsid w:val="36137A13"/>
    <w:rsid w:val="368E7BB6"/>
    <w:rsid w:val="36A408E8"/>
    <w:rsid w:val="36AD40BA"/>
    <w:rsid w:val="3737610F"/>
    <w:rsid w:val="374D5432"/>
    <w:rsid w:val="37507B97"/>
    <w:rsid w:val="376800F7"/>
    <w:rsid w:val="37970C53"/>
    <w:rsid w:val="37DE233C"/>
    <w:rsid w:val="38D3595B"/>
    <w:rsid w:val="391660D2"/>
    <w:rsid w:val="397321E5"/>
    <w:rsid w:val="399120D1"/>
    <w:rsid w:val="39C24964"/>
    <w:rsid w:val="3A0E62A5"/>
    <w:rsid w:val="3A170417"/>
    <w:rsid w:val="3A4737F8"/>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DC4107E"/>
    <w:rsid w:val="3E04466D"/>
    <w:rsid w:val="3E0502C1"/>
    <w:rsid w:val="3E3D5C2B"/>
    <w:rsid w:val="3E6F5648"/>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5D3FB5"/>
    <w:rsid w:val="416E066D"/>
    <w:rsid w:val="41815E1D"/>
    <w:rsid w:val="42155935"/>
    <w:rsid w:val="423E4ED9"/>
    <w:rsid w:val="426E267A"/>
    <w:rsid w:val="43375BBF"/>
    <w:rsid w:val="433C5FBA"/>
    <w:rsid w:val="43960FD8"/>
    <w:rsid w:val="43D50FEC"/>
    <w:rsid w:val="43D910F0"/>
    <w:rsid w:val="43F62BC1"/>
    <w:rsid w:val="449C66AF"/>
    <w:rsid w:val="44C96627"/>
    <w:rsid w:val="44CB088F"/>
    <w:rsid w:val="44F57E99"/>
    <w:rsid w:val="45065B38"/>
    <w:rsid w:val="45150771"/>
    <w:rsid w:val="454476BE"/>
    <w:rsid w:val="454756A0"/>
    <w:rsid w:val="45847093"/>
    <w:rsid w:val="45B97A14"/>
    <w:rsid w:val="461B7A3A"/>
    <w:rsid w:val="46274B13"/>
    <w:rsid w:val="4653609C"/>
    <w:rsid w:val="46CC256C"/>
    <w:rsid w:val="46E36A7D"/>
    <w:rsid w:val="47045DC3"/>
    <w:rsid w:val="477D0A2F"/>
    <w:rsid w:val="47A82FFD"/>
    <w:rsid w:val="47B701F5"/>
    <w:rsid w:val="47EB56E1"/>
    <w:rsid w:val="48473F5E"/>
    <w:rsid w:val="4849005D"/>
    <w:rsid w:val="48545ACA"/>
    <w:rsid w:val="48654977"/>
    <w:rsid w:val="488C6E75"/>
    <w:rsid w:val="48C321F4"/>
    <w:rsid w:val="48D151DA"/>
    <w:rsid w:val="48DE5B50"/>
    <w:rsid w:val="48FF0DFE"/>
    <w:rsid w:val="494220CF"/>
    <w:rsid w:val="49AD72D9"/>
    <w:rsid w:val="49BF2265"/>
    <w:rsid w:val="49CA4591"/>
    <w:rsid w:val="4A7D48B5"/>
    <w:rsid w:val="4AE2074A"/>
    <w:rsid w:val="4AE35FAB"/>
    <w:rsid w:val="4B044DB0"/>
    <w:rsid w:val="4BC23FA9"/>
    <w:rsid w:val="4C2131E6"/>
    <w:rsid w:val="4C2E7F1D"/>
    <w:rsid w:val="4C7B3A6C"/>
    <w:rsid w:val="4C8009A3"/>
    <w:rsid w:val="4CA5688D"/>
    <w:rsid w:val="4D0647E6"/>
    <w:rsid w:val="4D3D6ABF"/>
    <w:rsid w:val="4D5B71EC"/>
    <w:rsid w:val="4D895B83"/>
    <w:rsid w:val="4DC14920"/>
    <w:rsid w:val="4E111275"/>
    <w:rsid w:val="4E2D74E1"/>
    <w:rsid w:val="4E824F9D"/>
    <w:rsid w:val="4EDD08E9"/>
    <w:rsid w:val="4EFC718B"/>
    <w:rsid w:val="4F0768BB"/>
    <w:rsid w:val="4F114B96"/>
    <w:rsid w:val="4F2308EF"/>
    <w:rsid w:val="4F294268"/>
    <w:rsid w:val="4F346A97"/>
    <w:rsid w:val="4F480852"/>
    <w:rsid w:val="4FDA7BA2"/>
    <w:rsid w:val="5005280C"/>
    <w:rsid w:val="5019752A"/>
    <w:rsid w:val="5034385D"/>
    <w:rsid w:val="5075485B"/>
    <w:rsid w:val="508839C8"/>
    <w:rsid w:val="50E13B71"/>
    <w:rsid w:val="51010F22"/>
    <w:rsid w:val="51104F77"/>
    <w:rsid w:val="519B3F7B"/>
    <w:rsid w:val="51A96058"/>
    <w:rsid w:val="51B313CC"/>
    <w:rsid w:val="51BB3C0C"/>
    <w:rsid w:val="51E66290"/>
    <w:rsid w:val="52647CD1"/>
    <w:rsid w:val="526F3518"/>
    <w:rsid w:val="52CB3657"/>
    <w:rsid w:val="532A692B"/>
    <w:rsid w:val="533A041D"/>
    <w:rsid w:val="53F1227E"/>
    <w:rsid w:val="5423436B"/>
    <w:rsid w:val="54300A57"/>
    <w:rsid w:val="54F31C70"/>
    <w:rsid w:val="55427F71"/>
    <w:rsid w:val="557F73BB"/>
    <w:rsid w:val="55831B3D"/>
    <w:rsid w:val="55C256B9"/>
    <w:rsid w:val="55EC0C5F"/>
    <w:rsid w:val="55FD46C1"/>
    <w:rsid w:val="565F67C7"/>
    <w:rsid w:val="56A74288"/>
    <w:rsid w:val="56E055F3"/>
    <w:rsid w:val="5711697C"/>
    <w:rsid w:val="57B15E3E"/>
    <w:rsid w:val="582F3C6B"/>
    <w:rsid w:val="583C7C54"/>
    <w:rsid w:val="58405AF6"/>
    <w:rsid w:val="58454E73"/>
    <w:rsid w:val="58670BFF"/>
    <w:rsid w:val="588474F5"/>
    <w:rsid w:val="58F41895"/>
    <w:rsid w:val="5923096E"/>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873088"/>
    <w:rsid w:val="5D9233EA"/>
    <w:rsid w:val="5DBF0E47"/>
    <w:rsid w:val="5DC45DBE"/>
    <w:rsid w:val="5DC5615F"/>
    <w:rsid w:val="5E1A1C2C"/>
    <w:rsid w:val="5E320D32"/>
    <w:rsid w:val="5E3A23A6"/>
    <w:rsid w:val="5E40400B"/>
    <w:rsid w:val="5E426981"/>
    <w:rsid w:val="5E7F0481"/>
    <w:rsid w:val="5E8B2D52"/>
    <w:rsid w:val="5EA722F0"/>
    <w:rsid w:val="5F6D0C22"/>
    <w:rsid w:val="5FF330FC"/>
    <w:rsid w:val="601C418A"/>
    <w:rsid w:val="60312EBD"/>
    <w:rsid w:val="60496D39"/>
    <w:rsid w:val="6092785E"/>
    <w:rsid w:val="60A14E0E"/>
    <w:rsid w:val="60BB6BBF"/>
    <w:rsid w:val="61403A29"/>
    <w:rsid w:val="623E0A93"/>
    <w:rsid w:val="6240174B"/>
    <w:rsid w:val="62490A5A"/>
    <w:rsid w:val="626605A8"/>
    <w:rsid w:val="627737C8"/>
    <w:rsid w:val="629457A8"/>
    <w:rsid w:val="62A43AF9"/>
    <w:rsid w:val="63354556"/>
    <w:rsid w:val="63666713"/>
    <w:rsid w:val="63710425"/>
    <w:rsid w:val="637512DF"/>
    <w:rsid w:val="637E23A2"/>
    <w:rsid w:val="638920E0"/>
    <w:rsid w:val="63A177C9"/>
    <w:rsid w:val="63C4679E"/>
    <w:rsid w:val="642379C5"/>
    <w:rsid w:val="642E15AE"/>
    <w:rsid w:val="64531F05"/>
    <w:rsid w:val="64D34B2D"/>
    <w:rsid w:val="651376B7"/>
    <w:rsid w:val="653A02CF"/>
    <w:rsid w:val="65560103"/>
    <w:rsid w:val="656649C4"/>
    <w:rsid w:val="65D67393"/>
    <w:rsid w:val="65D93B1D"/>
    <w:rsid w:val="663650FC"/>
    <w:rsid w:val="663C25E1"/>
    <w:rsid w:val="666F013A"/>
    <w:rsid w:val="66BC0E05"/>
    <w:rsid w:val="66CD4CA9"/>
    <w:rsid w:val="67230D95"/>
    <w:rsid w:val="672A3BCD"/>
    <w:rsid w:val="68216299"/>
    <w:rsid w:val="686660AE"/>
    <w:rsid w:val="688F2809"/>
    <w:rsid w:val="68AE41F3"/>
    <w:rsid w:val="692861FC"/>
    <w:rsid w:val="693037E7"/>
    <w:rsid w:val="695A5B5C"/>
    <w:rsid w:val="697F74A7"/>
    <w:rsid w:val="698C0ED7"/>
    <w:rsid w:val="699B2B73"/>
    <w:rsid w:val="69A770EA"/>
    <w:rsid w:val="6A021E17"/>
    <w:rsid w:val="6A4F71C1"/>
    <w:rsid w:val="6A563F89"/>
    <w:rsid w:val="6A6C2EB7"/>
    <w:rsid w:val="6A896258"/>
    <w:rsid w:val="6A8B66E0"/>
    <w:rsid w:val="6AA80864"/>
    <w:rsid w:val="6AA90889"/>
    <w:rsid w:val="6AB47D31"/>
    <w:rsid w:val="6AB9328C"/>
    <w:rsid w:val="6AED15E9"/>
    <w:rsid w:val="6AF0115C"/>
    <w:rsid w:val="6B156E29"/>
    <w:rsid w:val="6B3B6FA0"/>
    <w:rsid w:val="6B5E436A"/>
    <w:rsid w:val="6B7D189E"/>
    <w:rsid w:val="6BB74F29"/>
    <w:rsid w:val="6BBD5648"/>
    <w:rsid w:val="6C080D3A"/>
    <w:rsid w:val="6C2B6830"/>
    <w:rsid w:val="6C912E54"/>
    <w:rsid w:val="6CAB2DE1"/>
    <w:rsid w:val="6D0A3E25"/>
    <w:rsid w:val="6D0E73EA"/>
    <w:rsid w:val="6D3B5643"/>
    <w:rsid w:val="6D6546FD"/>
    <w:rsid w:val="6D953261"/>
    <w:rsid w:val="6DA84EE1"/>
    <w:rsid w:val="6E00353C"/>
    <w:rsid w:val="6E1B5725"/>
    <w:rsid w:val="6E7B1D76"/>
    <w:rsid w:val="6F011566"/>
    <w:rsid w:val="6F255023"/>
    <w:rsid w:val="6F6E592F"/>
    <w:rsid w:val="6FCB6592"/>
    <w:rsid w:val="6FF460E3"/>
    <w:rsid w:val="70A402CF"/>
    <w:rsid w:val="71490590"/>
    <w:rsid w:val="7165302F"/>
    <w:rsid w:val="717F0A9B"/>
    <w:rsid w:val="719666A3"/>
    <w:rsid w:val="723E5444"/>
    <w:rsid w:val="72472BE1"/>
    <w:rsid w:val="72F56F08"/>
    <w:rsid w:val="72FD347C"/>
    <w:rsid w:val="73004BD7"/>
    <w:rsid w:val="731C5C06"/>
    <w:rsid w:val="73211019"/>
    <w:rsid w:val="73462E37"/>
    <w:rsid w:val="7365736C"/>
    <w:rsid w:val="738439C5"/>
    <w:rsid w:val="73C96D17"/>
    <w:rsid w:val="73EE6EFF"/>
    <w:rsid w:val="73F27731"/>
    <w:rsid w:val="74687F9F"/>
    <w:rsid w:val="74842034"/>
    <w:rsid w:val="74C374EF"/>
    <w:rsid w:val="750760F8"/>
    <w:rsid w:val="75162487"/>
    <w:rsid w:val="756B3D78"/>
    <w:rsid w:val="761210AA"/>
    <w:rsid w:val="765B3933"/>
    <w:rsid w:val="767C5C18"/>
    <w:rsid w:val="769D0054"/>
    <w:rsid w:val="76C11445"/>
    <w:rsid w:val="774D5183"/>
    <w:rsid w:val="776B6348"/>
    <w:rsid w:val="77A05FF6"/>
    <w:rsid w:val="77DF3816"/>
    <w:rsid w:val="77EA63A3"/>
    <w:rsid w:val="78503AFC"/>
    <w:rsid w:val="78797974"/>
    <w:rsid w:val="78926FA6"/>
    <w:rsid w:val="7945193E"/>
    <w:rsid w:val="796D7F89"/>
    <w:rsid w:val="797B2BE8"/>
    <w:rsid w:val="799F5CAA"/>
    <w:rsid w:val="79C55BAD"/>
    <w:rsid w:val="79D67130"/>
    <w:rsid w:val="79D70E4C"/>
    <w:rsid w:val="79EB0AE8"/>
    <w:rsid w:val="7A44619D"/>
    <w:rsid w:val="7AC13FB3"/>
    <w:rsid w:val="7B127C9C"/>
    <w:rsid w:val="7C213321"/>
    <w:rsid w:val="7C2408DA"/>
    <w:rsid w:val="7C584AB6"/>
    <w:rsid w:val="7C8901FC"/>
    <w:rsid w:val="7CB81C44"/>
    <w:rsid w:val="7CE10A11"/>
    <w:rsid w:val="7CEC5144"/>
    <w:rsid w:val="7D262131"/>
    <w:rsid w:val="7D8B18B6"/>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2732D8"/>
    <w:rsid w:val="7F755508"/>
    <w:rsid w:val="7F91692E"/>
    <w:rsid w:val="7FAF78C9"/>
    <w:rsid w:val="7FBB2973"/>
    <w:rsid w:val="7F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11</Pages>
  <Words>643</Words>
  <Characters>3666</Characters>
  <Lines>30</Lines>
  <Paragraphs>8</Paragraphs>
  <TotalTime>0</TotalTime>
  <ScaleCrop>false</ScaleCrop>
  <LinksUpToDate>false</LinksUpToDate>
  <CharactersWithSpaces>4301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2022-12-05T11:04:58Z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